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
        <w:rPr>
          <w:rFonts w:ascii="Times New Roman"/>
          <w:sz w:val="22"/>
        </w:rPr>
      </w:pPr>
    </w:p>
    <w:p>
      <w:pPr>
        <w:spacing w:before="54"/>
        <w:ind w:right="0"/>
        <w:jc w:val="left"/>
        <w:rPr>
          <w:rFonts w:hint="eastAsia" w:ascii="黑体" w:eastAsia="黑体"/>
          <w:sz w:val="32"/>
        </w:rPr>
      </w:pPr>
      <w:r>
        <w:rPr>
          <w:rFonts w:hint="eastAsia" w:ascii="黑体" w:eastAsia="黑体"/>
          <w:sz w:val="32"/>
        </w:rPr>
        <w:t>附件1</w:t>
      </w:r>
    </w:p>
    <w:p>
      <w:pPr>
        <w:pStyle w:val="3"/>
        <w:rPr>
          <w:rFonts w:ascii="黑体"/>
          <w:sz w:val="20"/>
        </w:rPr>
      </w:pPr>
    </w:p>
    <w:p>
      <w:pPr>
        <w:pStyle w:val="3"/>
        <w:rPr>
          <w:rFonts w:ascii="黑体"/>
          <w:sz w:val="20"/>
        </w:rPr>
      </w:pPr>
    </w:p>
    <w:p>
      <w:pPr>
        <w:spacing w:before="206" w:line="223" w:lineRule="auto"/>
        <w:ind w:left="1773" w:right="1672" w:firstLine="0"/>
        <w:jc w:val="center"/>
        <w:rPr>
          <w:rFonts w:hint="eastAsia" w:ascii="微软雅黑" w:eastAsia="微软雅黑"/>
          <w:sz w:val="38"/>
        </w:rPr>
      </w:pPr>
      <w:r>
        <w:rPr>
          <w:rFonts w:hint="eastAsia" w:ascii="微软雅黑" w:eastAsia="微软雅黑"/>
          <w:sz w:val="38"/>
        </w:rPr>
        <w:t>建设项目环境影响报告书（表）编制能 力 建 设 指 南</w:t>
      </w:r>
    </w:p>
    <w:p>
      <w:pPr>
        <w:spacing w:before="185"/>
        <w:ind w:left="2652" w:right="2553" w:firstLine="0"/>
        <w:jc w:val="center"/>
        <w:rPr>
          <w:rFonts w:hint="eastAsia" w:ascii="楷体" w:eastAsia="楷体"/>
          <w:sz w:val="32"/>
        </w:rPr>
      </w:pPr>
      <w:r>
        <w:rPr>
          <w:rFonts w:hint="eastAsia" w:ascii="楷体" w:eastAsia="楷体"/>
          <w:sz w:val="32"/>
        </w:rPr>
        <w:t>（ 试 行 ）</w:t>
      </w:r>
    </w:p>
    <w:p>
      <w:pPr>
        <w:pStyle w:val="3"/>
        <w:rPr>
          <w:rFonts w:ascii="楷体"/>
          <w:sz w:val="32"/>
        </w:rPr>
      </w:pPr>
    </w:p>
    <w:p>
      <w:pPr>
        <w:pStyle w:val="3"/>
        <w:spacing w:before="4"/>
        <w:rPr>
          <w:rFonts w:ascii="楷体"/>
          <w:sz w:val="23"/>
        </w:rPr>
      </w:pPr>
    </w:p>
    <w:p>
      <w:pPr>
        <w:pStyle w:val="3"/>
        <w:spacing w:before="1" w:line="364" w:lineRule="auto"/>
        <w:ind w:left="391" w:right="287" w:firstLine="600"/>
        <w:jc w:val="both"/>
      </w:pPr>
      <w:r>
        <w:rPr>
          <w:rFonts w:hint="eastAsia" w:ascii="黑体" w:eastAsia="黑体"/>
        </w:rPr>
        <w:t xml:space="preserve">第一条  </w:t>
      </w:r>
      <w:r>
        <w:t>为保证建设项目环境影响报告书和环境影响报告表(以下简称环境影响报告书（表）)编制质量，指导主持编制环境影响报告书（表）的单位（以下简称编制单位）开展相关能力建设， 根据《中华人民共和国环境影响评价法》《建设项目环境影响报告书（表）编制监督管理办法》（以下简称《监督管理办法》），制定本指南。</w:t>
      </w:r>
    </w:p>
    <w:p>
      <w:pPr>
        <w:pStyle w:val="3"/>
        <w:spacing w:line="364" w:lineRule="auto"/>
        <w:ind w:left="391" w:right="289" w:firstLine="600"/>
        <w:jc w:val="both"/>
      </w:pPr>
      <w:r>
        <w:rPr>
          <w:rFonts w:hint="eastAsia" w:ascii="黑体" w:eastAsia="黑体"/>
        </w:rPr>
        <w:t xml:space="preserve">第二条 </w:t>
      </w:r>
      <w:r>
        <w:t>编制单位应当按照本指南要求，不断加强环境影响报告书（表）编制能力建设，提升环境影响评价专业技术水平。</w:t>
      </w:r>
    </w:p>
    <w:p>
      <w:pPr>
        <w:pStyle w:val="3"/>
        <w:spacing w:line="364" w:lineRule="auto"/>
        <w:ind w:left="391" w:right="289" w:firstLine="600"/>
        <w:jc w:val="both"/>
      </w:pPr>
      <w:r>
        <w:rPr>
          <w:rFonts w:hint="eastAsia" w:ascii="黑体" w:eastAsia="黑体"/>
        </w:rPr>
        <w:t xml:space="preserve">第三条 </w:t>
      </w:r>
      <w:r>
        <w:t>环境影响报告书（表）编制能力建设包括编制单位的人员配备、工作实践和保障条件等三个方面。</w:t>
      </w:r>
    </w:p>
    <w:p>
      <w:pPr>
        <w:pStyle w:val="3"/>
        <w:ind w:left="991"/>
        <w:jc w:val="both"/>
      </w:pPr>
      <w:r>
        <w:rPr>
          <w:rFonts w:hint="eastAsia" w:ascii="黑体" w:eastAsia="黑体"/>
        </w:rPr>
        <w:t xml:space="preserve">第四条 </w:t>
      </w:r>
      <w:r>
        <w:t>人员配备方面的能力建设主要包括下列内容：</w:t>
      </w:r>
    </w:p>
    <w:p>
      <w:pPr>
        <w:pStyle w:val="3"/>
        <w:spacing w:before="193"/>
        <w:ind w:left="991"/>
      </w:pPr>
      <w:r>
        <w:t>（一）配备一定数量的全职专业技术人员</w:t>
      </w:r>
    </w:p>
    <w:p>
      <w:pPr>
        <w:pStyle w:val="7"/>
        <w:numPr>
          <w:ilvl w:val="0"/>
          <w:numId w:val="1"/>
        </w:numPr>
        <w:tabs>
          <w:tab w:val="left" w:pos="1296"/>
        </w:tabs>
        <w:spacing w:before="199" w:after="0" w:line="364" w:lineRule="auto"/>
        <w:ind w:left="391" w:right="289" w:firstLine="600"/>
        <w:jc w:val="both"/>
        <w:rPr>
          <w:sz w:val="30"/>
        </w:rPr>
      </w:pPr>
      <w:r>
        <w:rPr>
          <w:spacing w:val="3"/>
          <w:sz w:val="30"/>
        </w:rPr>
        <w:t>编制环境影响报告表的单位，全职人员中配备一定数量的环境影响评价工程师、掌握相关环境要素环境影响评价方法的人员、熟悉相应类别建设项目工程/</w:t>
      </w:r>
      <w:r>
        <w:rPr>
          <w:sz w:val="30"/>
        </w:rPr>
        <w:t>工艺特点与环境保护措施的人员，以及</w:t>
      </w:r>
    </w:p>
    <w:p>
      <w:pPr>
        <w:pStyle w:val="3"/>
        <w:spacing w:line="384" w:lineRule="exact"/>
        <w:ind w:left="391"/>
      </w:pPr>
      <w:r>
        <w:t>熟悉环境影响评价相关法律法规、标准和技术规范的人员；</w:t>
      </w:r>
    </w:p>
    <w:p>
      <w:pPr>
        <w:tabs>
          <w:tab w:val="left" w:pos="811"/>
        </w:tabs>
        <w:spacing w:before="48"/>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3</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3"/>
        <w:spacing w:before="10"/>
        <w:rPr>
          <w:rFonts w:ascii="宋体"/>
          <w:sz w:val="16"/>
        </w:rPr>
      </w:pPr>
    </w:p>
    <w:p>
      <w:pPr>
        <w:pStyle w:val="7"/>
        <w:numPr>
          <w:ilvl w:val="0"/>
          <w:numId w:val="1"/>
        </w:numPr>
        <w:tabs>
          <w:tab w:val="left" w:pos="1294"/>
        </w:tabs>
        <w:spacing w:before="58" w:after="0" w:line="364" w:lineRule="auto"/>
        <w:ind w:left="391" w:right="289" w:firstLine="600"/>
        <w:jc w:val="both"/>
        <w:rPr>
          <w:sz w:val="30"/>
        </w:rPr>
      </w:pPr>
      <w:r>
        <w:rPr>
          <w:spacing w:val="-1"/>
          <w:sz w:val="30"/>
        </w:rPr>
        <w:t>编制环境影响报告书的单位，除配备第</w:t>
      </w:r>
      <w:r>
        <w:rPr>
          <w:sz w:val="30"/>
        </w:rPr>
        <w:t>1</w:t>
      </w:r>
      <w:r>
        <w:rPr>
          <w:spacing w:val="-2"/>
          <w:sz w:val="30"/>
        </w:rPr>
        <w:t>项中的全职专业技术人员外，全职人员中配备一定数量近</w:t>
      </w:r>
      <w:r>
        <w:rPr>
          <w:sz w:val="30"/>
        </w:rPr>
        <w:t>3</w:t>
      </w:r>
      <w:r>
        <w:rPr>
          <w:spacing w:val="-2"/>
          <w:sz w:val="30"/>
        </w:rPr>
        <w:t>年内作为编制主持人主持编制</w:t>
      </w:r>
      <w:r>
        <w:rPr>
          <w:spacing w:val="4"/>
          <w:sz w:val="30"/>
        </w:rPr>
        <w:t>过相应类别环境影响报告书（表）</w:t>
      </w:r>
      <w:r>
        <w:rPr>
          <w:spacing w:val="3"/>
          <w:sz w:val="30"/>
        </w:rPr>
        <w:t>的环境影响评价工程师和从事环境影响评价工作5年以上的环境影响评价工程师；</w:t>
      </w:r>
    </w:p>
    <w:p>
      <w:pPr>
        <w:pStyle w:val="7"/>
        <w:numPr>
          <w:ilvl w:val="0"/>
          <w:numId w:val="1"/>
        </w:numPr>
        <w:tabs>
          <w:tab w:val="left" w:pos="1296"/>
        </w:tabs>
        <w:spacing w:before="0" w:after="0" w:line="364" w:lineRule="auto"/>
        <w:ind w:left="391" w:right="138" w:firstLine="600"/>
        <w:jc w:val="left"/>
        <w:rPr>
          <w:sz w:val="30"/>
        </w:rPr>
      </w:pPr>
      <w:r>
        <w:rPr>
          <w:spacing w:val="4"/>
          <w:sz w:val="30"/>
        </w:rPr>
        <w:t>编制重点项目（清单附后）</w:t>
      </w:r>
      <w:r>
        <w:rPr>
          <w:spacing w:val="3"/>
          <w:sz w:val="30"/>
        </w:rPr>
        <w:t>环境影响报告书的单位，除配备</w:t>
      </w:r>
      <w:r>
        <w:rPr>
          <w:spacing w:val="4"/>
          <w:sz w:val="30"/>
        </w:rPr>
        <w:t>第</w:t>
      </w:r>
      <w:r>
        <w:rPr>
          <w:spacing w:val="6"/>
          <w:sz w:val="30"/>
        </w:rPr>
        <w:t>1</w:t>
      </w:r>
      <w:r>
        <w:rPr>
          <w:spacing w:val="4"/>
          <w:sz w:val="30"/>
        </w:rPr>
        <w:t>项、第</w:t>
      </w:r>
      <w:r>
        <w:rPr>
          <w:spacing w:val="3"/>
          <w:sz w:val="30"/>
        </w:rPr>
        <w:t>2项中的全职专业技术人员外，全职人员中配备一定数量</w:t>
      </w:r>
      <w:r>
        <w:rPr>
          <w:spacing w:val="9"/>
          <w:sz w:val="30"/>
        </w:rPr>
        <w:t>近</w:t>
      </w:r>
      <w:r>
        <w:rPr>
          <w:spacing w:val="10"/>
          <w:sz w:val="30"/>
        </w:rPr>
        <w:t>3</w:t>
      </w:r>
      <w:r>
        <w:rPr>
          <w:spacing w:val="8"/>
          <w:sz w:val="30"/>
        </w:rPr>
        <w:t>年内作为编制主持人主持编制过或者作为主要编制人员编制过</w:t>
      </w:r>
      <w:r>
        <w:rPr>
          <w:spacing w:val="3"/>
          <w:sz w:val="30"/>
        </w:rPr>
        <w:t>相应类别重点项目环境影响报告书的环境影响评价工程师，以及从</w:t>
      </w:r>
      <w:r>
        <w:rPr>
          <w:spacing w:val="4"/>
          <w:sz w:val="30"/>
        </w:rPr>
        <w:t>事环境影响评价工作</w:t>
      </w:r>
      <w:r>
        <w:rPr>
          <w:sz w:val="30"/>
        </w:rPr>
        <w:t>10</w:t>
      </w:r>
      <w:r>
        <w:rPr>
          <w:spacing w:val="3"/>
          <w:sz w:val="30"/>
        </w:rPr>
        <w:t>年以上的环境影响评价工程师。其中，编制</w:t>
      </w:r>
      <w:r>
        <w:rPr>
          <w:spacing w:val="2"/>
          <w:sz w:val="30"/>
        </w:rPr>
        <w:t>核与辐射类别重点项目</w:t>
      </w:r>
      <w:r>
        <w:rPr>
          <w:sz w:val="30"/>
        </w:rPr>
        <w:t>（输变电项目除外</w:t>
      </w:r>
      <w:r>
        <w:rPr>
          <w:spacing w:val="-3"/>
          <w:sz w:val="30"/>
        </w:rPr>
        <w:t>）</w:t>
      </w:r>
      <w:r>
        <w:rPr>
          <w:spacing w:val="-2"/>
          <w:sz w:val="30"/>
        </w:rPr>
        <w:t xml:space="preserve">环境影响报告书的单位， </w:t>
      </w:r>
      <w:r>
        <w:rPr>
          <w:sz w:val="30"/>
        </w:rPr>
        <w:t>全职人员中同时配备一定数量的注册核安全工程师。</w:t>
      </w:r>
    </w:p>
    <w:p>
      <w:pPr>
        <w:pStyle w:val="3"/>
        <w:spacing w:line="379" w:lineRule="exact"/>
        <w:ind w:left="991"/>
      </w:pPr>
      <w:r>
        <w:t>（二）专业技术人员完成一定数量的继续教育学时</w:t>
      </w:r>
    </w:p>
    <w:p>
      <w:pPr>
        <w:pStyle w:val="7"/>
        <w:numPr>
          <w:ilvl w:val="0"/>
          <w:numId w:val="2"/>
        </w:numPr>
        <w:tabs>
          <w:tab w:val="left" w:pos="1296"/>
        </w:tabs>
        <w:spacing w:before="197" w:after="0" w:line="364" w:lineRule="auto"/>
        <w:ind w:left="391" w:right="289" w:firstLine="600"/>
        <w:jc w:val="left"/>
        <w:rPr>
          <w:sz w:val="30"/>
        </w:rPr>
      </w:pPr>
      <w:r>
        <w:rPr>
          <w:spacing w:val="3"/>
          <w:sz w:val="30"/>
        </w:rPr>
        <w:t>每年参加一定学时的环境影响评价相关业务培训、研修、远程教育等；</w:t>
      </w:r>
    </w:p>
    <w:p>
      <w:pPr>
        <w:pStyle w:val="7"/>
        <w:numPr>
          <w:ilvl w:val="0"/>
          <w:numId w:val="2"/>
        </w:numPr>
        <w:tabs>
          <w:tab w:val="left" w:pos="1296"/>
        </w:tabs>
        <w:spacing w:before="0" w:after="0" w:line="362" w:lineRule="auto"/>
        <w:ind w:left="391" w:right="289" w:firstLine="600"/>
        <w:jc w:val="left"/>
        <w:rPr>
          <w:sz w:val="30"/>
        </w:rPr>
      </w:pPr>
      <w:r>
        <w:rPr>
          <w:spacing w:val="3"/>
          <w:sz w:val="30"/>
        </w:rPr>
        <w:t>每年参加相当一定学时的环境影响评价相关学术会议、学术讲座等。</w:t>
      </w:r>
    </w:p>
    <w:p>
      <w:pPr>
        <w:pStyle w:val="3"/>
        <w:tabs>
          <w:tab w:val="left" w:pos="2191"/>
        </w:tabs>
        <w:spacing w:before="6"/>
        <w:ind w:left="991"/>
      </w:pPr>
      <w:r>
        <w:rPr>
          <w:rFonts w:hint="eastAsia" w:ascii="黑体" w:eastAsia="黑体"/>
        </w:rPr>
        <w:t>第五条</w:t>
      </w:r>
      <w:r>
        <w:rPr>
          <w:rFonts w:hint="eastAsia" w:ascii="黑体" w:eastAsia="黑体"/>
        </w:rPr>
        <w:tab/>
      </w:r>
      <w:r>
        <w:t>工作实践方面的能力建设主要包括下列内容：</w:t>
      </w:r>
    </w:p>
    <w:p>
      <w:pPr>
        <w:pStyle w:val="3"/>
        <w:spacing w:before="198" w:line="364" w:lineRule="auto"/>
        <w:ind w:left="991" w:right="4933"/>
      </w:pPr>
      <w:r>
        <w:t>（一）具备相应的基础能力1.建设项目工程分析能力；</w:t>
      </w:r>
    </w:p>
    <w:p>
      <w:pPr>
        <w:pStyle w:val="7"/>
        <w:numPr>
          <w:ilvl w:val="0"/>
          <w:numId w:val="3"/>
        </w:numPr>
        <w:tabs>
          <w:tab w:val="left" w:pos="1294"/>
        </w:tabs>
        <w:spacing w:before="0" w:after="0" w:line="382" w:lineRule="exact"/>
        <w:ind w:left="1293" w:right="0" w:hanging="303"/>
        <w:jc w:val="left"/>
        <w:rPr>
          <w:sz w:val="30"/>
        </w:rPr>
      </w:pPr>
      <w:r>
        <w:rPr>
          <w:sz w:val="30"/>
        </w:rPr>
        <w:t>环境现状调查与评价能力；</w:t>
      </w:r>
    </w:p>
    <w:p>
      <w:pPr>
        <w:pStyle w:val="7"/>
        <w:numPr>
          <w:ilvl w:val="0"/>
          <w:numId w:val="3"/>
        </w:numPr>
        <w:tabs>
          <w:tab w:val="left" w:pos="1294"/>
        </w:tabs>
        <w:spacing w:before="199" w:after="0" w:line="240" w:lineRule="auto"/>
        <w:ind w:left="1293" w:right="0" w:hanging="303"/>
        <w:jc w:val="left"/>
        <w:rPr>
          <w:sz w:val="30"/>
        </w:rPr>
      </w:pPr>
      <w:r>
        <w:rPr>
          <w:sz w:val="30"/>
        </w:rPr>
        <w:t>环境影响分析、预测与评价能力；</w:t>
      </w:r>
    </w:p>
    <w:p>
      <w:pPr>
        <w:pStyle w:val="7"/>
        <w:numPr>
          <w:ilvl w:val="0"/>
          <w:numId w:val="3"/>
        </w:numPr>
        <w:tabs>
          <w:tab w:val="left" w:pos="1294"/>
        </w:tabs>
        <w:spacing w:before="201" w:after="0" w:line="240" w:lineRule="auto"/>
        <w:ind w:left="1293" w:right="0" w:hanging="303"/>
        <w:jc w:val="left"/>
        <w:rPr>
          <w:sz w:val="30"/>
        </w:rPr>
      </w:pPr>
      <w:r>
        <w:rPr>
          <w:sz w:val="30"/>
        </w:rPr>
        <w:t>环境保护措施比选及其技术、经济论证能力；</w:t>
      </w:r>
    </w:p>
    <w:p>
      <w:pPr>
        <w:pStyle w:val="3"/>
        <w:spacing w:before="5"/>
        <w:rPr>
          <w:sz w:val="17"/>
        </w:rPr>
      </w:pPr>
    </w:p>
    <w:p>
      <w:pPr>
        <w:spacing w:before="61"/>
        <w:ind w:left="391" w:right="0" w:firstLine="0"/>
        <w:jc w:val="left"/>
        <w:rPr>
          <w:rFonts w:ascii="宋体" w:hAnsi="宋体"/>
          <w:sz w:val="28"/>
        </w:rPr>
      </w:pPr>
      <w:r>
        <w:rPr>
          <w:rFonts w:ascii="宋体" w:hAnsi="宋体"/>
          <w:sz w:val="28"/>
        </w:rPr>
        <w:t xml:space="preserve">— </w:t>
      </w:r>
      <w:r>
        <w:rPr>
          <w:rFonts w:ascii="宋体" w:hAnsi="宋体"/>
          <w:sz w:val="26"/>
        </w:rPr>
        <w:t xml:space="preserve">4 </w:t>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3"/>
        <w:spacing w:before="10"/>
        <w:rPr>
          <w:rFonts w:ascii="宋体"/>
          <w:sz w:val="16"/>
        </w:rPr>
      </w:pPr>
    </w:p>
    <w:p>
      <w:pPr>
        <w:pStyle w:val="7"/>
        <w:numPr>
          <w:ilvl w:val="0"/>
          <w:numId w:val="3"/>
        </w:numPr>
        <w:tabs>
          <w:tab w:val="left" w:pos="1294"/>
        </w:tabs>
        <w:spacing w:before="58" w:after="0" w:line="240" w:lineRule="auto"/>
        <w:ind w:left="1293" w:right="0" w:hanging="303"/>
        <w:jc w:val="left"/>
        <w:rPr>
          <w:sz w:val="30"/>
        </w:rPr>
      </w:pPr>
      <w:r>
        <w:rPr>
          <w:sz w:val="30"/>
        </w:rPr>
        <w:t>相关技术报告和数据资料分析、审核能力。</w:t>
      </w:r>
    </w:p>
    <w:p>
      <w:pPr>
        <w:pStyle w:val="3"/>
        <w:spacing w:before="199"/>
        <w:ind w:left="991"/>
      </w:pPr>
      <w:r>
        <w:t>（二）具备相应的工作业绩</w:t>
      </w:r>
    </w:p>
    <w:p>
      <w:pPr>
        <w:pStyle w:val="7"/>
        <w:numPr>
          <w:ilvl w:val="0"/>
          <w:numId w:val="4"/>
        </w:numPr>
        <w:tabs>
          <w:tab w:val="left" w:pos="1294"/>
        </w:tabs>
        <w:spacing w:before="201" w:after="0" w:line="364" w:lineRule="auto"/>
        <w:ind w:left="391" w:right="289" w:firstLine="600"/>
        <w:jc w:val="left"/>
        <w:rPr>
          <w:sz w:val="30"/>
        </w:rPr>
      </w:pPr>
      <w:r>
        <w:rPr>
          <w:spacing w:val="-1"/>
          <w:sz w:val="30"/>
        </w:rPr>
        <w:t>编制环境影响报告书的单位，近</w:t>
      </w:r>
      <w:r>
        <w:rPr>
          <w:sz w:val="30"/>
        </w:rPr>
        <w:t>3</w:t>
      </w:r>
      <w:r>
        <w:rPr>
          <w:spacing w:val="-2"/>
          <w:sz w:val="30"/>
        </w:rPr>
        <w:t>年内主持编制过一定数量的</w:t>
      </w:r>
      <w:r>
        <w:rPr>
          <w:sz w:val="30"/>
        </w:rPr>
        <w:t>环境影响报告书（表）或者规划环境影响报告书；</w:t>
      </w:r>
    </w:p>
    <w:p>
      <w:pPr>
        <w:pStyle w:val="7"/>
        <w:numPr>
          <w:ilvl w:val="0"/>
          <w:numId w:val="4"/>
        </w:numPr>
        <w:tabs>
          <w:tab w:val="left" w:pos="1294"/>
        </w:tabs>
        <w:spacing w:before="0" w:after="0" w:line="364" w:lineRule="auto"/>
        <w:ind w:left="391" w:right="289" w:firstLine="600"/>
        <w:jc w:val="left"/>
        <w:rPr>
          <w:sz w:val="30"/>
        </w:rPr>
      </w:pPr>
      <w:r>
        <w:rPr>
          <w:spacing w:val="-1"/>
          <w:sz w:val="30"/>
        </w:rPr>
        <w:t>编制重点项目环境影响报告书的单位，近</w:t>
      </w:r>
      <w:r>
        <w:rPr>
          <w:sz w:val="30"/>
        </w:rPr>
        <w:t>3</w:t>
      </w:r>
      <w:r>
        <w:rPr>
          <w:spacing w:val="-2"/>
          <w:sz w:val="30"/>
        </w:rPr>
        <w:t>年内主持编制过一</w:t>
      </w:r>
      <w:r>
        <w:rPr>
          <w:sz w:val="30"/>
        </w:rPr>
        <w:t>定数量的相应类别环境影响报告书。</w:t>
      </w:r>
    </w:p>
    <w:p>
      <w:pPr>
        <w:pStyle w:val="3"/>
        <w:spacing w:line="382" w:lineRule="exact"/>
        <w:ind w:left="991"/>
      </w:pPr>
      <w:r>
        <w:t>（三）具备一定的科研能力</w:t>
      </w:r>
    </w:p>
    <w:p>
      <w:pPr>
        <w:pStyle w:val="3"/>
        <w:spacing w:before="196" w:line="364" w:lineRule="auto"/>
        <w:ind w:left="391" w:right="289" w:firstLine="600"/>
      </w:pPr>
      <w:r>
        <w:rPr>
          <w:spacing w:val="9"/>
        </w:rPr>
        <w:t>近</w:t>
      </w:r>
      <w:r>
        <w:rPr>
          <w:spacing w:val="13"/>
        </w:rPr>
        <w:t>3</w:t>
      </w:r>
      <w:r>
        <w:rPr>
          <w:spacing w:val="8"/>
        </w:rPr>
        <w:t>年内承担或者参与过一定数量的环境影响评价相关科学研</w:t>
      </w:r>
      <w:r>
        <w:t>究课题，或者环境保护相关标准、技术规范等制修订工作。</w:t>
      </w:r>
    </w:p>
    <w:p>
      <w:pPr>
        <w:pStyle w:val="3"/>
        <w:tabs>
          <w:tab w:val="left" w:pos="2191"/>
        </w:tabs>
        <w:spacing w:before="1"/>
        <w:ind w:left="991"/>
      </w:pPr>
      <w:r>
        <w:rPr>
          <w:rFonts w:hint="eastAsia" w:ascii="黑体" w:eastAsia="黑体"/>
        </w:rPr>
        <w:t>第六条</w:t>
      </w:r>
      <w:r>
        <w:rPr>
          <w:rFonts w:hint="eastAsia" w:ascii="黑体" w:eastAsia="黑体"/>
        </w:rPr>
        <w:tab/>
      </w:r>
      <w:r>
        <w:t>保障条件方面的能力建设主要包括下列内容：</w:t>
      </w:r>
    </w:p>
    <w:p>
      <w:pPr>
        <w:pStyle w:val="3"/>
        <w:spacing w:before="199" w:line="364" w:lineRule="auto"/>
        <w:ind w:left="991" w:right="4933"/>
      </w:pPr>
      <w:r>
        <w:t>（一）具备固定的工作场所1.具备必要的办公条件；</w:t>
      </w:r>
    </w:p>
    <w:p>
      <w:pPr>
        <w:pStyle w:val="3"/>
        <w:spacing w:line="382" w:lineRule="exact"/>
        <w:ind w:left="991"/>
      </w:pPr>
      <w:r>
        <w:t>2.具备环境影响评价档案资料管理设施及场所。</w:t>
      </w:r>
    </w:p>
    <w:p>
      <w:pPr>
        <w:pStyle w:val="3"/>
        <w:spacing w:before="198"/>
        <w:ind w:left="991"/>
      </w:pPr>
      <w:r>
        <w:t>（二）具备完善的质量保证体系</w:t>
      </w:r>
    </w:p>
    <w:p>
      <w:pPr>
        <w:pStyle w:val="7"/>
        <w:numPr>
          <w:ilvl w:val="0"/>
          <w:numId w:val="5"/>
        </w:numPr>
        <w:tabs>
          <w:tab w:val="left" w:pos="1294"/>
        </w:tabs>
        <w:spacing w:before="202" w:after="0" w:line="240" w:lineRule="auto"/>
        <w:ind w:left="1293" w:right="0" w:hanging="303"/>
        <w:jc w:val="left"/>
        <w:rPr>
          <w:sz w:val="30"/>
        </w:rPr>
      </w:pPr>
      <w:r>
        <w:rPr>
          <w:sz w:val="30"/>
        </w:rPr>
        <w:t>建立和实施环境影响评价质量控制制度；</w:t>
      </w:r>
    </w:p>
    <w:p>
      <w:pPr>
        <w:pStyle w:val="7"/>
        <w:numPr>
          <w:ilvl w:val="0"/>
          <w:numId w:val="5"/>
        </w:numPr>
        <w:tabs>
          <w:tab w:val="left" w:pos="1294"/>
        </w:tabs>
        <w:spacing w:before="196" w:after="0" w:line="240" w:lineRule="auto"/>
        <w:ind w:left="1293" w:right="0" w:hanging="303"/>
        <w:jc w:val="left"/>
        <w:rPr>
          <w:sz w:val="30"/>
        </w:rPr>
      </w:pPr>
      <w:r>
        <w:rPr>
          <w:sz w:val="30"/>
        </w:rPr>
        <w:t>建立和运行环境影响评价质量控制信息化管理系统；</w:t>
      </w:r>
    </w:p>
    <w:p>
      <w:pPr>
        <w:pStyle w:val="7"/>
        <w:numPr>
          <w:ilvl w:val="0"/>
          <w:numId w:val="5"/>
        </w:numPr>
        <w:tabs>
          <w:tab w:val="left" w:pos="1294"/>
        </w:tabs>
        <w:spacing w:before="201" w:after="0" w:line="240" w:lineRule="auto"/>
        <w:ind w:left="1293" w:right="0" w:hanging="303"/>
        <w:jc w:val="left"/>
        <w:rPr>
          <w:sz w:val="30"/>
        </w:rPr>
      </w:pPr>
      <w:r>
        <w:rPr>
          <w:sz w:val="30"/>
        </w:rPr>
        <w:t>建立和实施环境影响评价技术交流与培训制度。</w:t>
      </w:r>
    </w:p>
    <w:p>
      <w:pPr>
        <w:pStyle w:val="3"/>
        <w:spacing w:before="199" w:line="364" w:lineRule="auto"/>
        <w:ind w:left="991" w:right="3433"/>
      </w:pPr>
      <w:r>
        <w:t>（三）配备相应的专业软件和仪器设备1.配备一定数量的专业技术软件；</w:t>
      </w:r>
    </w:p>
    <w:p>
      <w:pPr>
        <w:pStyle w:val="3"/>
        <w:spacing w:line="382" w:lineRule="exact"/>
        <w:ind w:left="991"/>
      </w:pPr>
      <w:r>
        <w:t>2.配备一定数量的图文制作和专业仪器设备。</w:t>
      </w:r>
    </w:p>
    <w:p>
      <w:pPr>
        <w:pStyle w:val="3"/>
        <w:tabs>
          <w:tab w:val="left" w:pos="2217"/>
        </w:tabs>
        <w:spacing w:before="199" w:line="364" w:lineRule="auto"/>
        <w:ind w:left="391" w:right="289" w:firstLine="600"/>
      </w:pPr>
      <w:r>
        <w:rPr>
          <w:rFonts w:hint="eastAsia" w:ascii="黑体" w:eastAsia="黑体"/>
          <w:spacing w:val="4"/>
        </w:rPr>
        <w:t>第七</w:t>
      </w:r>
      <w:r>
        <w:rPr>
          <w:rFonts w:hint="eastAsia" w:ascii="黑体" w:eastAsia="黑体"/>
        </w:rPr>
        <w:t>条</w:t>
      </w:r>
      <w:r>
        <w:rPr>
          <w:rFonts w:hint="eastAsia" w:ascii="黑体" w:eastAsia="黑体"/>
        </w:rPr>
        <w:tab/>
      </w:r>
      <w:r>
        <w:rPr>
          <w:spacing w:val="4"/>
        </w:rPr>
        <w:t>鼓励</w:t>
      </w:r>
      <w:r>
        <w:rPr>
          <w:spacing w:val="7"/>
        </w:rPr>
        <w:t>建</w:t>
      </w:r>
      <w:r>
        <w:rPr>
          <w:spacing w:val="4"/>
        </w:rPr>
        <w:t>设单位</w:t>
      </w:r>
      <w:r>
        <w:rPr>
          <w:spacing w:val="7"/>
        </w:rPr>
        <w:t>优</w:t>
      </w:r>
      <w:r>
        <w:rPr>
          <w:spacing w:val="4"/>
        </w:rPr>
        <w:t>先选择</w:t>
      </w:r>
      <w:r>
        <w:rPr>
          <w:spacing w:val="7"/>
        </w:rPr>
        <w:t>符</w:t>
      </w:r>
      <w:r>
        <w:rPr>
          <w:spacing w:val="4"/>
        </w:rPr>
        <w:t>合本指</w:t>
      </w:r>
      <w:r>
        <w:rPr>
          <w:spacing w:val="7"/>
        </w:rPr>
        <w:t>南</w:t>
      </w:r>
      <w:r>
        <w:rPr>
          <w:spacing w:val="4"/>
        </w:rPr>
        <w:t>要求的</w:t>
      </w:r>
      <w:r>
        <w:rPr>
          <w:spacing w:val="7"/>
        </w:rPr>
        <w:t>技</w:t>
      </w:r>
      <w:r>
        <w:rPr>
          <w:spacing w:val="4"/>
        </w:rPr>
        <w:t>术单位</w:t>
      </w:r>
      <w:r>
        <w:t>为其编制环境影响报告书（表）。</w:t>
      </w:r>
    </w:p>
    <w:p>
      <w:pPr>
        <w:tabs>
          <w:tab w:val="left" w:pos="811"/>
        </w:tabs>
        <w:spacing w:before="85"/>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5</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3"/>
        <w:spacing w:before="10"/>
        <w:rPr>
          <w:rFonts w:ascii="宋体"/>
          <w:sz w:val="16"/>
        </w:rPr>
      </w:pPr>
    </w:p>
    <w:p>
      <w:pPr>
        <w:pStyle w:val="3"/>
        <w:spacing w:before="58" w:line="364" w:lineRule="auto"/>
        <w:ind w:left="391" w:right="289" w:firstLine="600"/>
        <w:jc w:val="both"/>
      </w:pPr>
      <w:r>
        <w:rPr>
          <w:spacing w:val="3"/>
        </w:rPr>
        <w:t>技术单位配备的全职专业技术人员数量、技术单位专业技术人员的继续教育学时、技术单位的工作业绩和科研工作量以及配备的专业软件和仪器设备数量等情况，可作为建设单位比选技术单位的重要量化参考指标。</w:t>
      </w:r>
    </w:p>
    <w:p>
      <w:pPr>
        <w:pStyle w:val="3"/>
        <w:spacing w:line="364" w:lineRule="auto"/>
        <w:ind w:left="391" w:right="289" w:firstLine="600"/>
        <w:jc w:val="both"/>
      </w:pPr>
      <w:r>
        <w:rPr>
          <w:rFonts w:hint="eastAsia" w:ascii="黑体" w:eastAsia="黑体"/>
          <w:spacing w:val="5"/>
        </w:rPr>
        <w:t xml:space="preserve">第八条 </w:t>
      </w:r>
      <w:r>
        <w:rPr>
          <w:spacing w:val="3"/>
        </w:rPr>
        <w:t>本指南所称全职，是指《监督管理办法》第四十四条中规定的用工形式。</w:t>
      </w:r>
    </w:p>
    <w:p>
      <w:pPr>
        <w:pStyle w:val="3"/>
        <w:spacing w:line="364" w:lineRule="auto"/>
        <w:ind w:left="391" w:right="289" w:firstLine="600"/>
        <w:jc w:val="both"/>
      </w:pPr>
      <w:r>
        <w:t>本指南所称环境影响评价工程师、注册核安全工程师，分别是指取得环境影响评价工程师职业资格证书、注册核安全工程师执业资格证书的人员。</w:t>
      </w:r>
    </w:p>
    <w:p>
      <w:pPr>
        <w:pStyle w:val="3"/>
        <w:spacing w:line="364" w:lineRule="auto"/>
        <w:ind w:left="391" w:right="289" w:firstLine="600"/>
      </w:pPr>
      <w:r>
        <w:t>本指南所称相应类别，是指建设项目在《建设项目环境影响评价分类管理名录》中对应的项目类别。</w:t>
      </w:r>
    </w:p>
    <w:p>
      <w:pPr>
        <w:pStyle w:val="3"/>
        <w:spacing w:line="364" w:lineRule="auto"/>
        <w:ind w:left="391" w:right="287" w:firstLine="600"/>
        <w:jc w:val="both"/>
      </w:pPr>
      <w:r>
        <w:t>本指南所称近3年，以环境影响报告书（表）、规划环境影响报告书、科学研究课题、标准、技术规范等的批准、审查、验收（鉴定）或者发布时间为起点计算。</w:t>
      </w:r>
    </w:p>
    <w:p>
      <w:pPr>
        <w:pStyle w:val="3"/>
        <w:spacing w:line="362" w:lineRule="auto"/>
        <w:ind w:left="391" w:right="289" w:firstLine="600"/>
      </w:pPr>
      <w:r>
        <w:t>本指南所称技术单位，是指《监督管理办法》第二条中所称的技术单位。</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14"/>
        </w:rPr>
      </w:pPr>
    </w:p>
    <w:p>
      <w:pPr>
        <w:spacing w:before="62"/>
        <w:ind w:left="391" w:right="0" w:firstLine="0"/>
        <w:jc w:val="left"/>
        <w:rPr>
          <w:rFonts w:ascii="宋体" w:hAnsi="宋体"/>
          <w:sz w:val="28"/>
        </w:rPr>
      </w:pPr>
      <w:r>
        <w:rPr>
          <w:rFonts w:ascii="宋体" w:hAnsi="宋体"/>
          <w:sz w:val="28"/>
        </w:rPr>
        <w:t xml:space="preserve">— </w:t>
      </w:r>
      <w:r>
        <w:rPr>
          <w:rFonts w:ascii="宋体" w:hAnsi="宋体"/>
          <w:sz w:val="26"/>
        </w:rPr>
        <w:t xml:space="preserve">6 </w:t>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3"/>
        <w:spacing w:before="3"/>
        <w:rPr>
          <w:rFonts w:ascii="宋体"/>
          <w:sz w:val="19"/>
        </w:rPr>
      </w:pPr>
    </w:p>
    <w:p>
      <w:pPr>
        <w:pStyle w:val="2"/>
        <w:tabs>
          <w:tab w:val="left" w:pos="857"/>
          <w:tab w:val="left" w:pos="1618"/>
          <w:tab w:val="left" w:pos="2379"/>
          <w:tab w:val="left" w:pos="3137"/>
          <w:tab w:val="left" w:pos="3898"/>
        </w:tabs>
        <w:spacing w:before="0"/>
      </w:pPr>
      <w:r>
        <w:t>重</w:t>
      </w:r>
      <w:r>
        <w:tab/>
      </w:r>
      <w:r>
        <w:t>点</w:t>
      </w:r>
      <w:r>
        <w:tab/>
      </w:r>
      <w:r>
        <w:t>项</w:t>
      </w:r>
      <w:r>
        <w:tab/>
      </w:r>
      <w:r>
        <w:t>目</w:t>
      </w:r>
      <w:r>
        <w:tab/>
      </w:r>
      <w:r>
        <w:t>清</w:t>
      </w:r>
      <w:r>
        <w:tab/>
      </w:r>
      <w:r>
        <w:t>单</w:t>
      </w:r>
    </w:p>
    <w:p>
      <w:pPr>
        <w:pStyle w:val="3"/>
        <w:rPr>
          <w:rFonts w:ascii="微软雅黑"/>
          <w:sz w:val="20"/>
        </w:rPr>
      </w:pPr>
    </w:p>
    <w:p>
      <w:pPr>
        <w:pStyle w:val="3"/>
        <w:rPr>
          <w:rFonts w:ascii="微软雅黑"/>
          <w:sz w:val="20"/>
        </w:rPr>
      </w:pPr>
    </w:p>
    <w:p>
      <w:pPr>
        <w:pStyle w:val="3"/>
        <w:rPr>
          <w:rFonts w:ascii="微软雅黑"/>
          <w:sz w:val="20"/>
        </w:rPr>
      </w:pPr>
    </w:p>
    <w:p>
      <w:pPr>
        <w:pStyle w:val="3"/>
        <w:rPr>
          <w:rFonts w:ascii="微软雅黑"/>
          <w:sz w:val="20"/>
        </w:rPr>
      </w:pPr>
    </w:p>
    <w:p>
      <w:pPr>
        <w:pStyle w:val="3"/>
        <w:rPr>
          <w:rFonts w:ascii="微软雅黑"/>
          <w:sz w:val="20"/>
        </w:rPr>
      </w:pPr>
    </w:p>
    <w:p>
      <w:pPr>
        <w:pStyle w:val="3"/>
        <w:spacing w:before="7"/>
        <w:rPr>
          <w:rFonts w:ascii="微软雅黑"/>
          <w:sz w:val="14"/>
        </w:rPr>
      </w:pPr>
    </w:p>
    <w:p>
      <w:pPr>
        <w:spacing w:before="70"/>
        <w:ind w:left="0" w:right="125" w:firstLine="0"/>
        <w:jc w:val="right"/>
        <w:rPr>
          <w:rFonts w:hint="eastAsia" w:ascii="宋体" w:eastAsia="宋体"/>
          <w:sz w:val="21"/>
        </w:rPr>
      </w:pPr>
      <w:r>
        <mc:AlternateContent>
          <mc:Choice Requires="wps">
            <w:drawing>
              <wp:anchor distT="0" distB="0" distL="114300" distR="114300" simplePos="0" relativeHeight="251658240" behindDoc="0" locked="0" layoutInCell="1" allowOverlap="1">
                <wp:simplePos x="0" y="0"/>
                <wp:positionH relativeFrom="page">
                  <wp:posOffset>910590</wp:posOffset>
                </wp:positionH>
                <wp:positionV relativeFrom="paragraph">
                  <wp:posOffset>-906145</wp:posOffset>
                </wp:positionV>
                <wp:extent cx="5745480" cy="704405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45480" cy="704405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1"/>
                              <w:gridCol w:w="1654"/>
                              <w:gridCol w:w="3016"/>
                              <w:gridCol w:w="408"/>
                              <w:gridCol w:w="408"/>
                              <w:gridCol w:w="30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bottom w:val="single" w:color="000000" w:sz="4" w:space="0"/>
                                    <w:right w:val="single" w:color="000000" w:sz="4" w:space="0"/>
                                  </w:tcBorders>
                                </w:tcPr>
                                <w:p>
                                  <w:pPr>
                                    <w:pStyle w:val="8"/>
                                    <w:spacing w:before="105"/>
                                    <w:ind w:left="30" w:right="15"/>
                                    <w:jc w:val="center"/>
                                    <w:rPr>
                                      <w:rFonts w:hint="eastAsia" w:ascii="黑体" w:eastAsia="黑体"/>
                                      <w:sz w:val="21"/>
                                    </w:rPr>
                                  </w:pPr>
                                  <w:r>
                                    <w:rPr>
                                      <w:rFonts w:hint="eastAsia" w:ascii="黑体" w:eastAsia="黑体"/>
                                      <w:sz w:val="21"/>
                                    </w:rPr>
                                    <w:t>序号</w:t>
                                  </w:r>
                                </w:p>
                              </w:tc>
                              <w:tc>
                                <w:tcPr>
                                  <w:tcW w:w="1654" w:type="dxa"/>
                                  <w:tcBorders>
                                    <w:left w:val="single" w:color="000000" w:sz="4" w:space="0"/>
                                    <w:bottom w:val="single" w:color="000000" w:sz="4" w:space="0"/>
                                    <w:right w:val="single" w:color="000000" w:sz="4" w:space="0"/>
                                  </w:tcBorders>
                                </w:tcPr>
                                <w:p>
                                  <w:pPr>
                                    <w:pStyle w:val="8"/>
                                    <w:spacing w:before="105"/>
                                    <w:ind w:left="420"/>
                                    <w:rPr>
                                      <w:rFonts w:hint="eastAsia" w:ascii="黑体" w:eastAsia="黑体"/>
                                      <w:sz w:val="21"/>
                                    </w:rPr>
                                  </w:pPr>
                                  <w:r>
                                    <w:rPr>
                                      <w:rFonts w:hint="eastAsia" w:ascii="黑体" w:eastAsia="黑体"/>
                                      <w:sz w:val="21"/>
                                    </w:rPr>
                                    <w:t>项目类别</w:t>
                                  </w:r>
                                </w:p>
                              </w:tc>
                              <w:tc>
                                <w:tcPr>
                                  <w:tcW w:w="3016" w:type="dxa"/>
                                  <w:tcBorders>
                                    <w:left w:val="single" w:color="000000" w:sz="4" w:space="0"/>
                                    <w:bottom w:val="single" w:color="000000" w:sz="4" w:space="0"/>
                                    <w:right w:val="nil"/>
                                  </w:tcBorders>
                                </w:tcPr>
                                <w:p>
                                  <w:pPr>
                                    <w:pStyle w:val="8"/>
                                    <w:spacing w:before="105"/>
                                    <w:ind w:right="89"/>
                                    <w:jc w:val="right"/>
                                    <w:rPr>
                                      <w:rFonts w:hint="eastAsia" w:ascii="黑体" w:eastAsia="黑体"/>
                                      <w:sz w:val="21"/>
                                    </w:rPr>
                                  </w:pPr>
                                  <w:r>
                                    <w:rPr>
                                      <w:rFonts w:hint="eastAsia" w:ascii="黑体" w:eastAsia="黑体"/>
                                      <w:w w:val="99"/>
                                      <w:sz w:val="21"/>
                                    </w:rPr>
                                    <w:t>重</w:t>
                                  </w:r>
                                </w:p>
                              </w:tc>
                              <w:tc>
                                <w:tcPr>
                                  <w:tcW w:w="408" w:type="dxa"/>
                                  <w:tcBorders>
                                    <w:left w:val="nil"/>
                                    <w:bottom w:val="single" w:color="000000" w:sz="4" w:space="0"/>
                                    <w:right w:val="nil"/>
                                  </w:tcBorders>
                                </w:tcPr>
                                <w:p>
                                  <w:pPr>
                                    <w:pStyle w:val="8"/>
                                    <w:spacing w:before="105"/>
                                    <w:ind w:left="109"/>
                                    <w:rPr>
                                      <w:rFonts w:hint="eastAsia" w:ascii="黑体" w:eastAsia="黑体"/>
                                      <w:sz w:val="21"/>
                                    </w:rPr>
                                  </w:pPr>
                                  <w:r>
                                    <w:rPr>
                                      <w:rFonts w:hint="eastAsia" w:ascii="黑体" w:eastAsia="黑体"/>
                                      <w:w w:val="99"/>
                                      <w:sz w:val="21"/>
                                    </w:rPr>
                                    <w:t>点</w:t>
                                  </w:r>
                                </w:p>
                              </w:tc>
                              <w:tc>
                                <w:tcPr>
                                  <w:tcW w:w="408" w:type="dxa"/>
                                  <w:tcBorders>
                                    <w:left w:val="nil"/>
                                    <w:bottom w:val="single" w:color="000000" w:sz="4" w:space="0"/>
                                    <w:right w:val="nil"/>
                                  </w:tcBorders>
                                </w:tcPr>
                                <w:p>
                                  <w:pPr>
                                    <w:pStyle w:val="8"/>
                                    <w:spacing w:before="105"/>
                                    <w:ind w:left="109"/>
                                    <w:rPr>
                                      <w:rFonts w:hint="eastAsia" w:ascii="黑体" w:eastAsia="黑体"/>
                                      <w:sz w:val="21"/>
                                    </w:rPr>
                                  </w:pPr>
                                  <w:r>
                                    <w:rPr>
                                      <w:rFonts w:hint="eastAsia" w:ascii="黑体" w:eastAsia="黑体"/>
                                      <w:w w:val="99"/>
                                      <w:sz w:val="21"/>
                                    </w:rPr>
                                    <w:t>项</w:t>
                                  </w:r>
                                </w:p>
                              </w:tc>
                              <w:tc>
                                <w:tcPr>
                                  <w:tcW w:w="3012" w:type="dxa"/>
                                  <w:tcBorders>
                                    <w:left w:val="nil"/>
                                    <w:bottom w:val="single" w:color="000000" w:sz="4" w:space="0"/>
                                  </w:tcBorders>
                                </w:tcPr>
                                <w:p>
                                  <w:pPr>
                                    <w:pStyle w:val="8"/>
                                    <w:spacing w:before="105"/>
                                    <w:ind w:left="109"/>
                                    <w:rPr>
                                      <w:rFonts w:hint="eastAsia" w:ascii="黑体" w:eastAsia="黑体"/>
                                      <w:sz w:val="21"/>
                                    </w:rPr>
                                  </w:pPr>
                                  <w:r>
                                    <w:rPr>
                                      <w:rFonts w:hint="eastAsia" w:ascii="黑体" w:eastAsia="黑体"/>
                                      <w:w w:val="99"/>
                                      <w:sz w:val="21"/>
                                    </w:rPr>
                                    <w:t>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16"/>
                                    <w:jc w:val="center"/>
                                    <w:rPr>
                                      <w:sz w:val="21"/>
                                    </w:rPr>
                                  </w:pPr>
                                  <w:r>
                                    <w:rPr>
                                      <w:w w:val="99"/>
                                      <w:sz w:val="21"/>
                                    </w:rPr>
                                    <w:t>1</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z w:val="21"/>
                                    </w:rPr>
                                    <w:t>纺织业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有洗毛、染整、脱胶工段的纺织品制造项目。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5"/>
                                    <w:ind w:left="16"/>
                                    <w:jc w:val="center"/>
                                    <w:rPr>
                                      <w:sz w:val="21"/>
                                    </w:rPr>
                                  </w:pPr>
                                  <w:r>
                                    <w:rPr>
                                      <w:w w:val="99"/>
                                      <w:sz w:val="21"/>
                                    </w:rPr>
                                    <w:t>2</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5"/>
                                    <w:ind w:left="31"/>
                                    <w:rPr>
                                      <w:sz w:val="21"/>
                                    </w:rPr>
                                  </w:pPr>
                                  <w:r>
                                    <w:rPr>
                                      <w:sz w:val="21"/>
                                    </w:rPr>
                                    <w:t>造纸和纸制品业</w:t>
                                  </w:r>
                                </w:p>
                              </w:tc>
                              <w:tc>
                                <w:tcPr>
                                  <w:tcW w:w="6844" w:type="dxa"/>
                                  <w:gridSpan w:val="4"/>
                                  <w:tcBorders>
                                    <w:top w:val="single" w:color="000000" w:sz="4" w:space="0"/>
                                    <w:left w:val="single" w:color="000000" w:sz="4" w:space="0"/>
                                    <w:bottom w:val="single" w:color="000000" w:sz="4" w:space="0"/>
                                  </w:tcBorders>
                                </w:tcPr>
                                <w:p>
                                  <w:pPr>
                                    <w:pStyle w:val="8"/>
                                    <w:spacing w:before="105"/>
                                    <w:ind w:left="33"/>
                                    <w:rPr>
                                      <w:sz w:val="21"/>
                                    </w:rPr>
                                  </w:pPr>
                                  <w:r>
                                    <w:rPr>
                                      <w:sz w:val="21"/>
                                    </w:rPr>
                                    <w:t>纸浆、溶解浆、纤维浆等制造项目；造纸项目。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521" w:type="dxa"/>
                                  <w:tcBorders>
                                    <w:top w:val="single" w:color="000000" w:sz="4" w:space="0"/>
                                    <w:bottom w:val="single" w:color="000000" w:sz="4" w:space="0"/>
                                    <w:right w:val="single" w:color="000000" w:sz="4" w:space="0"/>
                                  </w:tcBorders>
                                </w:tcPr>
                                <w:p>
                                  <w:pPr>
                                    <w:pStyle w:val="8"/>
                                    <w:spacing w:before="11"/>
                                    <w:rPr>
                                      <w:sz w:val="14"/>
                                    </w:rPr>
                                  </w:pPr>
                                </w:p>
                                <w:p>
                                  <w:pPr>
                                    <w:pStyle w:val="8"/>
                                    <w:spacing w:before="1"/>
                                    <w:ind w:left="16"/>
                                    <w:jc w:val="center"/>
                                    <w:rPr>
                                      <w:sz w:val="21"/>
                                    </w:rPr>
                                  </w:pPr>
                                  <w:r>
                                    <w:rPr>
                                      <w:w w:val="99"/>
                                      <w:sz w:val="21"/>
                                    </w:rPr>
                                    <w:t>3</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4"/>
                                    </w:rPr>
                                  </w:pPr>
                                </w:p>
                                <w:p>
                                  <w:pPr>
                                    <w:pStyle w:val="8"/>
                                    <w:spacing w:before="1"/>
                                    <w:ind w:left="31"/>
                                    <w:rPr>
                                      <w:sz w:val="21"/>
                                    </w:rPr>
                                  </w:pPr>
                                  <w:r>
                                    <w:rPr>
                                      <w:w w:val="95"/>
                                      <w:sz w:val="21"/>
                                    </w:rPr>
                                    <w:t>石油加工、炼焦业</w:t>
                                  </w:r>
                                </w:p>
                              </w:tc>
                              <w:tc>
                                <w:tcPr>
                                  <w:tcW w:w="6844" w:type="dxa"/>
                                  <w:gridSpan w:val="4"/>
                                  <w:tcBorders>
                                    <w:top w:val="single" w:color="000000" w:sz="4" w:space="0"/>
                                    <w:left w:val="single" w:color="000000" w:sz="4" w:space="0"/>
                                    <w:bottom w:val="single" w:color="000000" w:sz="4" w:space="0"/>
                                  </w:tcBorders>
                                </w:tcPr>
                                <w:p>
                                  <w:pPr>
                                    <w:pStyle w:val="8"/>
                                    <w:spacing w:before="1"/>
                                    <w:ind w:left="33"/>
                                    <w:rPr>
                                      <w:sz w:val="21"/>
                                    </w:rPr>
                                  </w:pPr>
                                  <w:r>
                                    <w:rPr>
                                      <w:spacing w:val="-13"/>
                                      <w:sz w:val="21"/>
                                    </w:rPr>
                                    <w:t>炼油项目；乙烯项目；低阶煤分质利用项目；煤制天然气、油、化学品项目</w:t>
                                  </w:r>
                                </w:p>
                                <w:p>
                                  <w:pPr>
                                    <w:pStyle w:val="8"/>
                                    <w:spacing w:before="58"/>
                                    <w:ind w:left="33"/>
                                    <w:rPr>
                                      <w:sz w:val="21"/>
                                    </w:rPr>
                                  </w:pPr>
                                  <w:r>
                                    <w:rPr>
                                      <w:sz w:val="21"/>
                                    </w:rPr>
                                    <w:t>焦化项目。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521" w:type="dxa"/>
                                  <w:tcBorders>
                                    <w:top w:val="single" w:color="000000" w:sz="4" w:space="0"/>
                                    <w:bottom w:val="single" w:color="000000" w:sz="4" w:space="0"/>
                                    <w:right w:val="single" w:color="000000" w:sz="4" w:space="0"/>
                                  </w:tcBorders>
                                </w:tcPr>
                                <w:p>
                                  <w:pPr>
                                    <w:pStyle w:val="8"/>
                                    <w:spacing w:before="6"/>
                                    <w:rPr>
                                      <w:sz w:val="27"/>
                                    </w:rPr>
                                  </w:pPr>
                                </w:p>
                                <w:p>
                                  <w:pPr>
                                    <w:pStyle w:val="8"/>
                                    <w:spacing w:before="1"/>
                                    <w:ind w:left="16"/>
                                    <w:jc w:val="center"/>
                                    <w:rPr>
                                      <w:sz w:val="21"/>
                                    </w:rPr>
                                  </w:pPr>
                                  <w:r>
                                    <w:rPr>
                                      <w:w w:val="99"/>
                                      <w:sz w:val="21"/>
                                    </w:rPr>
                                    <w:t>4</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6"/>
                                    </w:rPr>
                                  </w:pPr>
                                </w:p>
                                <w:p>
                                  <w:pPr>
                                    <w:pStyle w:val="8"/>
                                    <w:spacing w:line="244" w:lineRule="auto"/>
                                    <w:ind w:left="31" w:right="9"/>
                                    <w:rPr>
                                      <w:sz w:val="21"/>
                                    </w:rPr>
                                  </w:pPr>
                                  <w:r>
                                    <w:rPr>
                                      <w:sz w:val="21"/>
                                    </w:rPr>
                                    <w:t>化学原料和化学制品制造业</w:t>
                                  </w:r>
                                </w:p>
                              </w:tc>
                              <w:tc>
                                <w:tcPr>
                                  <w:tcW w:w="6844" w:type="dxa"/>
                                  <w:gridSpan w:val="4"/>
                                  <w:tcBorders>
                                    <w:top w:val="single" w:color="000000" w:sz="4" w:space="0"/>
                                    <w:left w:val="single" w:color="000000" w:sz="4" w:space="0"/>
                                    <w:bottom w:val="single" w:color="000000" w:sz="4" w:space="0"/>
                                  </w:tcBorders>
                                </w:tcPr>
                                <w:p>
                                  <w:pPr>
                                    <w:pStyle w:val="8"/>
                                    <w:spacing w:line="290" w:lineRule="auto"/>
                                    <w:ind w:left="33" w:right="1"/>
                                    <w:rPr>
                                      <w:sz w:val="21"/>
                                    </w:rPr>
                                  </w:pPr>
                                  <w:r>
                                    <w:rPr>
                                      <w:spacing w:val="-1"/>
                                      <w:w w:val="95"/>
                                      <w:sz w:val="21"/>
                                    </w:rPr>
                                    <w:t>铬盐生产项目；氰化物生产项目；精对苯二甲酸</w:t>
                                  </w:r>
                                  <w:r>
                                    <w:rPr>
                                      <w:w w:val="95"/>
                                      <w:sz w:val="21"/>
                                    </w:rPr>
                                    <w:t xml:space="preserve">（PTA）、对二甲苯（PX）  </w:t>
                                  </w:r>
                                  <w:r>
                                    <w:rPr>
                                      <w:spacing w:val="-5"/>
                                      <w:w w:val="95"/>
                                      <w:sz w:val="21"/>
                                    </w:rPr>
                                    <w:t>项目；二苯基甲烷二异氰酸酯</w:t>
                                  </w:r>
                                  <w:r>
                                    <w:rPr>
                                      <w:spacing w:val="-3"/>
                                      <w:w w:val="95"/>
                                      <w:sz w:val="21"/>
                                    </w:rPr>
                                    <w:t>（MDI）</w:t>
                                  </w:r>
                                  <w:r>
                                    <w:rPr>
                                      <w:spacing w:val="-5"/>
                                      <w:w w:val="95"/>
                                      <w:sz w:val="21"/>
                                    </w:rPr>
                                    <w:t>、甲苯二异氰酸酯</w:t>
                                  </w:r>
                                  <w:r>
                                    <w:rPr>
                                      <w:spacing w:val="-4"/>
                                      <w:w w:val="95"/>
                                      <w:sz w:val="21"/>
                                    </w:rPr>
                                    <w:t>（TDI）项目；电石</w:t>
                                  </w:r>
                                </w:p>
                                <w:p>
                                  <w:pPr>
                                    <w:pStyle w:val="8"/>
                                    <w:spacing w:before="1"/>
                                    <w:ind w:left="33"/>
                                    <w:rPr>
                                      <w:sz w:val="21"/>
                                    </w:rPr>
                                  </w:pPr>
                                  <w:r>
                                    <w:rPr>
                                      <w:sz w:val="21"/>
                                    </w:rPr>
                                    <w:t>法聚氯乙烯项目；农药原药生产项目。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16"/>
                                    <w:jc w:val="center"/>
                                    <w:rPr>
                                      <w:sz w:val="21"/>
                                    </w:rPr>
                                  </w:pPr>
                                  <w:r>
                                    <w:rPr>
                                      <w:w w:val="99"/>
                                      <w:sz w:val="21"/>
                                    </w:rPr>
                                    <w:t>5</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z w:val="21"/>
                                    </w:rPr>
                                    <w:t>医药制造业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原料药生产项目。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521" w:type="dxa"/>
                                  <w:tcBorders>
                                    <w:top w:val="single" w:color="000000" w:sz="4" w:space="0"/>
                                    <w:bottom w:val="single" w:color="000000" w:sz="4" w:space="0"/>
                                    <w:right w:val="single" w:color="000000" w:sz="4" w:space="0"/>
                                  </w:tcBorders>
                                </w:tcPr>
                                <w:p>
                                  <w:pPr>
                                    <w:pStyle w:val="8"/>
                                    <w:spacing w:before="135"/>
                                    <w:ind w:left="16"/>
                                    <w:jc w:val="center"/>
                                    <w:rPr>
                                      <w:sz w:val="21"/>
                                    </w:rPr>
                                  </w:pPr>
                                  <w:r>
                                    <w:rPr>
                                      <w:w w:val="99"/>
                                      <w:sz w:val="21"/>
                                    </w:rPr>
                                    <w:t>6</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
                                    <w:ind w:left="31"/>
                                    <w:rPr>
                                      <w:sz w:val="21"/>
                                    </w:rPr>
                                  </w:pPr>
                                  <w:r>
                                    <w:rPr>
                                      <w:sz w:val="21"/>
                                    </w:rPr>
                                    <w:t>黑色金属冶炼和</w:t>
                                  </w:r>
                                </w:p>
                                <w:p>
                                  <w:pPr>
                                    <w:pStyle w:val="8"/>
                                    <w:spacing w:before="2" w:line="253" w:lineRule="exact"/>
                                    <w:ind w:left="31"/>
                                    <w:rPr>
                                      <w:sz w:val="21"/>
                                    </w:rPr>
                                  </w:pPr>
                                  <w:r>
                                    <w:rPr>
                                      <w:sz w:val="21"/>
                                    </w:rPr>
                                    <w:t>压延加工业</w:t>
                                  </w:r>
                                </w:p>
                              </w:tc>
                              <w:tc>
                                <w:tcPr>
                                  <w:tcW w:w="6844" w:type="dxa"/>
                                  <w:gridSpan w:val="4"/>
                                  <w:tcBorders>
                                    <w:top w:val="single" w:color="000000" w:sz="4" w:space="0"/>
                                    <w:left w:val="single" w:color="000000" w:sz="4" w:space="0"/>
                                    <w:bottom w:val="single" w:color="000000" w:sz="4" w:space="0"/>
                                  </w:tcBorders>
                                </w:tcPr>
                                <w:p>
                                  <w:pPr>
                                    <w:pStyle w:val="8"/>
                                    <w:spacing w:before="135"/>
                                    <w:ind w:left="33"/>
                                    <w:rPr>
                                      <w:sz w:val="21"/>
                                    </w:rPr>
                                  </w:pPr>
                                  <w:r>
                                    <w:rPr>
                                      <w:sz w:val="21"/>
                                    </w:rPr>
                                    <w:t>炼铁、球团、烧结项目；炼钢项目。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521" w:type="dxa"/>
                                  <w:tcBorders>
                                    <w:top w:val="single" w:color="000000" w:sz="4" w:space="0"/>
                                    <w:bottom w:val="single" w:color="000000" w:sz="4" w:space="0"/>
                                    <w:right w:val="single" w:color="000000" w:sz="4" w:space="0"/>
                                  </w:tcBorders>
                                </w:tcPr>
                                <w:p>
                                  <w:pPr>
                                    <w:pStyle w:val="8"/>
                                    <w:spacing w:before="135"/>
                                    <w:ind w:left="16"/>
                                    <w:jc w:val="center"/>
                                    <w:rPr>
                                      <w:sz w:val="21"/>
                                    </w:rPr>
                                  </w:pPr>
                                  <w:r>
                                    <w:rPr>
                                      <w:w w:val="99"/>
                                      <w:sz w:val="21"/>
                                    </w:rPr>
                                    <w:t>7</w:t>
                                  </w:r>
                                </w:p>
                              </w:tc>
                              <w:tc>
                                <w:tcPr>
                                  <w:tcW w:w="1654" w:type="dxa"/>
                                  <w:tcBorders>
                                    <w:top w:val="single" w:color="000000" w:sz="4" w:space="0"/>
                                    <w:left w:val="single" w:color="000000" w:sz="4" w:space="0"/>
                                    <w:bottom w:val="single" w:color="000000" w:sz="4" w:space="0"/>
                                    <w:right w:val="single" w:color="000000" w:sz="4" w:space="0"/>
                                  </w:tcBorders>
                                </w:tcPr>
                                <w:p>
                                  <w:pPr>
                                    <w:pStyle w:val="8"/>
                                    <w:ind w:left="31"/>
                                    <w:rPr>
                                      <w:sz w:val="21"/>
                                    </w:rPr>
                                  </w:pPr>
                                  <w:r>
                                    <w:rPr>
                                      <w:sz w:val="21"/>
                                    </w:rPr>
                                    <w:t>有色金属冶炼和</w:t>
                                  </w:r>
                                </w:p>
                                <w:p>
                                  <w:pPr>
                                    <w:pStyle w:val="8"/>
                                    <w:spacing w:before="5" w:line="251" w:lineRule="exact"/>
                                    <w:ind w:left="31"/>
                                    <w:rPr>
                                      <w:sz w:val="21"/>
                                    </w:rPr>
                                  </w:pPr>
                                  <w:r>
                                    <w:rPr>
                                      <w:sz w:val="21"/>
                                    </w:rPr>
                                    <w:t>压延加工业</w:t>
                                  </w:r>
                                </w:p>
                              </w:tc>
                              <w:tc>
                                <w:tcPr>
                                  <w:tcW w:w="6844" w:type="dxa"/>
                                  <w:gridSpan w:val="4"/>
                                  <w:tcBorders>
                                    <w:top w:val="single" w:color="000000" w:sz="4" w:space="0"/>
                                    <w:left w:val="single" w:color="000000" w:sz="4" w:space="0"/>
                                    <w:bottom w:val="single" w:color="000000" w:sz="4" w:space="0"/>
                                  </w:tcBorders>
                                </w:tcPr>
                                <w:p>
                                  <w:pPr>
                                    <w:pStyle w:val="8"/>
                                    <w:spacing w:before="135"/>
                                    <w:ind w:left="33"/>
                                    <w:rPr>
                                      <w:sz w:val="21"/>
                                    </w:rPr>
                                  </w:pPr>
                                  <w:r>
                                    <w:rPr>
                                      <w:sz w:val="21"/>
                                    </w:rPr>
                                    <w:t>有色金属冶炼项目（含再生有色金属冶炼）。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521" w:type="dxa"/>
                                  <w:tcBorders>
                                    <w:top w:val="single" w:color="000000" w:sz="4" w:space="0"/>
                                    <w:bottom w:val="single" w:color="000000" w:sz="4" w:space="0"/>
                                    <w:right w:val="single" w:color="000000" w:sz="4" w:space="0"/>
                                  </w:tcBorders>
                                </w:tcPr>
                                <w:p>
                                  <w:pPr>
                                    <w:pStyle w:val="8"/>
                                    <w:spacing w:before="134"/>
                                    <w:ind w:left="16"/>
                                    <w:jc w:val="center"/>
                                    <w:rPr>
                                      <w:sz w:val="21"/>
                                    </w:rPr>
                                  </w:pPr>
                                  <w:r>
                                    <w:rPr>
                                      <w:w w:val="99"/>
                                      <w:sz w:val="21"/>
                                    </w:rPr>
                                    <w:t>8</w:t>
                                  </w:r>
                                </w:p>
                              </w:tc>
                              <w:tc>
                                <w:tcPr>
                                  <w:tcW w:w="1654" w:type="dxa"/>
                                  <w:tcBorders>
                                    <w:top w:val="single" w:color="000000" w:sz="4" w:space="0"/>
                                    <w:left w:val="single" w:color="000000" w:sz="4" w:space="0"/>
                                    <w:bottom w:val="single" w:color="000000" w:sz="4" w:space="0"/>
                                    <w:right w:val="single" w:color="000000" w:sz="4" w:space="0"/>
                                  </w:tcBorders>
                                </w:tcPr>
                                <w:p>
                                  <w:pPr>
                                    <w:pStyle w:val="8"/>
                                    <w:ind w:left="31"/>
                                    <w:rPr>
                                      <w:sz w:val="21"/>
                                    </w:rPr>
                                  </w:pPr>
                                  <w:r>
                                    <w:rPr>
                                      <w:sz w:val="21"/>
                                    </w:rPr>
                                    <w:t>电气机械和器材</w:t>
                                  </w:r>
                                </w:p>
                                <w:p>
                                  <w:pPr>
                                    <w:pStyle w:val="8"/>
                                    <w:spacing w:before="2" w:line="253" w:lineRule="exact"/>
                                    <w:ind w:left="31"/>
                                    <w:rPr>
                                      <w:sz w:val="21"/>
                                    </w:rPr>
                                  </w:pPr>
                                  <w:r>
                                    <w:rPr>
                                      <w:sz w:val="21"/>
                                    </w:rPr>
                                    <w:t>制造业</w:t>
                                  </w:r>
                                </w:p>
                              </w:tc>
                              <w:tc>
                                <w:tcPr>
                                  <w:tcW w:w="6844" w:type="dxa"/>
                                  <w:gridSpan w:val="4"/>
                                  <w:tcBorders>
                                    <w:top w:val="single" w:color="000000" w:sz="4" w:space="0"/>
                                    <w:left w:val="single" w:color="000000" w:sz="4" w:space="0"/>
                                    <w:bottom w:val="single" w:color="000000" w:sz="4" w:space="0"/>
                                  </w:tcBorders>
                                </w:tcPr>
                                <w:p>
                                  <w:pPr>
                                    <w:pStyle w:val="8"/>
                                    <w:spacing w:before="134"/>
                                    <w:ind w:left="33"/>
                                    <w:rPr>
                                      <w:sz w:val="21"/>
                                    </w:rPr>
                                  </w:pPr>
                                  <w:r>
                                    <w:rPr>
                                      <w:sz w:val="21"/>
                                    </w:rPr>
                                    <w:t>铅蓄电池制造项目。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521" w:type="dxa"/>
                                  <w:tcBorders>
                                    <w:top w:val="single" w:color="000000" w:sz="4" w:space="0"/>
                                    <w:bottom w:val="single" w:color="000000" w:sz="4" w:space="0"/>
                                    <w:right w:val="single" w:color="000000" w:sz="4" w:space="0"/>
                                  </w:tcBorders>
                                </w:tcPr>
                                <w:p>
                                  <w:pPr>
                                    <w:pStyle w:val="8"/>
                                    <w:spacing w:before="10"/>
                                    <w:rPr>
                                      <w:sz w:val="14"/>
                                    </w:rPr>
                                  </w:pPr>
                                </w:p>
                                <w:p>
                                  <w:pPr>
                                    <w:pStyle w:val="8"/>
                                    <w:ind w:left="16"/>
                                    <w:jc w:val="center"/>
                                    <w:rPr>
                                      <w:sz w:val="21"/>
                                    </w:rPr>
                                  </w:pPr>
                                  <w:r>
                                    <w:rPr>
                                      <w:w w:val="99"/>
                                      <w:sz w:val="21"/>
                                    </w:rPr>
                                    <w:t>9</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55" w:line="242" w:lineRule="auto"/>
                                    <w:ind w:left="31" w:right="9"/>
                                    <w:rPr>
                                      <w:sz w:val="21"/>
                                    </w:rPr>
                                  </w:pPr>
                                  <w:r>
                                    <w:rPr>
                                      <w:spacing w:val="-13"/>
                                      <w:sz w:val="21"/>
                                    </w:rPr>
                                    <w:t>电力、热力生产和</w:t>
                                  </w:r>
                                  <w:r>
                                    <w:rPr>
                                      <w:spacing w:val="-2"/>
                                      <w:sz w:val="21"/>
                                    </w:rPr>
                                    <w:t>供应业</w:t>
                                  </w:r>
                                </w:p>
                              </w:tc>
                              <w:tc>
                                <w:tcPr>
                                  <w:tcW w:w="6844" w:type="dxa"/>
                                  <w:gridSpan w:val="4"/>
                                  <w:tcBorders>
                                    <w:top w:val="single" w:color="000000" w:sz="4" w:space="0"/>
                                    <w:left w:val="single" w:color="000000" w:sz="4" w:space="0"/>
                                    <w:bottom w:val="single" w:color="000000" w:sz="4" w:space="0"/>
                                  </w:tcBorders>
                                </w:tcPr>
                                <w:p>
                                  <w:pPr>
                                    <w:pStyle w:val="8"/>
                                    <w:ind w:left="33" w:right="-15"/>
                                    <w:rPr>
                                      <w:sz w:val="21"/>
                                    </w:rPr>
                                  </w:pPr>
                                  <w:r>
                                    <w:rPr>
                                      <w:spacing w:val="-4"/>
                                      <w:w w:val="95"/>
                                      <w:sz w:val="21"/>
                                    </w:rPr>
                                    <w:t>火力发电项目</w:t>
                                  </w:r>
                                  <w:r>
                                    <w:rPr>
                                      <w:spacing w:val="-3"/>
                                      <w:w w:val="95"/>
                                      <w:sz w:val="21"/>
                                    </w:rPr>
                                    <w:t>（</w:t>
                                  </w:r>
                                  <w:r>
                                    <w:rPr>
                                      <w:spacing w:val="-5"/>
                                      <w:w w:val="95"/>
                                      <w:sz w:val="21"/>
                                    </w:rPr>
                                    <w:t>不含燃气发电工程和背压机组项目</w:t>
                                  </w:r>
                                  <w:r>
                                    <w:rPr>
                                      <w:spacing w:val="-3"/>
                                      <w:w w:val="95"/>
                                      <w:sz w:val="21"/>
                                    </w:rPr>
                                    <w:t>）；</w:t>
                                  </w:r>
                                  <w:r>
                                    <w:rPr>
                                      <w:spacing w:val="-5"/>
                                      <w:w w:val="95"/>
                                      <w:sz w:val="21"/>
                                    </w:rPr>
                                    <w:t>生活垃圾发电项目；</w:t>
                                  </w:r>
                                </w:p>
                                <w:p>
                                  <w:pPr>
                                    <w:pStyle w:val="8"/>
                                    <w:spacing w:before="57"/>
                                    <w:ind w:left="33"/>
                                    <w:rPr>
                                      <w:sz w:val="21"/>
                                    </w:rPr>
                                  </w:pPr>
                                  <w:r>
                                    <w:rPr>
                                      <w:sz w:val="21"/>
                                    </w:rPr>
                                    <w:t>总装机容量 25 万千瓦及以上的水电站项目。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29" w:right="15"/>
                                    <w:jc w:val="center"/>
                                    <w:rPr>
                                      <w:sz w:val="21"/>
                                    </w:rPr>
                                  </w:pPr>
                                  <w:r>
                                    <w:rPr>
                                      <w:sz w:val="21"/>
                                    </w:rPr>
                                    <w:t>10</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pacing w:val="-12"/>
                                      <w:sz w:val="21"/>
                                    </w:rPr>
                                    <w:t>水的生产和供应业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新建、扩建工业废水集中处理项目。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521" w:type="dxa"/>
                                  <w:tcBorders>
                                    <w:top w:val="single" w:color="000000" w:sz="4" w:space="0"/>
                                    <w:bottom w:val="single" w:color="000000" w:sz="4" w:space="0"/>
                                    <w:right w:val="single" w:color="000000" w:sz="4" w:space="0"/>
                                  </w:tcBorders>
                                </w:tcPr>
                                <w:p>
                                  <w:pPr>
                                    <w:pStyle w:val="8"/>
                                    <w:spacing w:before="11"/>
                                    <w:rPr>
                                      <w:sz w:val="14"/>
                                    </w:rPr>
                                  </w:pPr>
                                </w:p>
                                <w:p>
                                  <w:pPr>
                                    <w:pStyle w:val="8"/>
                                    <w:ind w:left="29" w:right="15"/>
                                    <w:jc w:val="center"/>
                                    <w:rPr>
                                      <w:sz w:val="21"/>
                                    </w:rPr>
                                  </w:pPr>
                                  <w:r>
                                    <w:rPr>
                                      <w:sz w:val="21"/>
                                    </w:rPr>
                                    <w:t>11</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4"/>
                                    </w:rPr>
                                  </w:pPr>
                                </w:p>
                                <w:p>
                                  <w:pPr>
                                    <w:pStyle w:val="8"/>
                                    <w:ind w:left="31"/>
                                    <w:rPr>
                                      <w:sz w:val="21"/>
                                    </w:rPr>
                                  </w:pPr>
                                  <w:r>
                                    <w:rPr>
                                      <w:sz w:val="21"/>
                                    </w:rPr>
                                    <w:t>环境治理业</w:t>
                                  </w:r>
                                </w:p>
                              </w:tc>
                              <w:tc>
                                <w:tcPr>
                                  <w:tcW w:w="6844" w:type="dxa"/>
                                  <w:gridSpan w:val="4"/>
                                  <w:tcBorders>
                                    <w:top w:val="single" w:color="000000" w:sz="4" w:space="0"/>
                                    <w:left w:val="single" w:color="000000" w:sz="4" w:space="0"/>
                                    <w:bottom w:val="single" w:color="000000" w:sz="4" w:space="0"/>
                                  </w:tcBorders>
                                </w:tcPr>
                                <w:p>
                                  <w:pPr>
                                    <w:pStyle w:val="8"/>
                                    <w:spacing w:before="1"/>
                                    <w:ind w:left="33"/>
                                    <w:rPr>
                                      <w:sz w:val="21"/>
                                    </w:rPr>
                                  </w:pPr>
                                  <w:r>
                                    <w:rPr>
                                      <w:spacing w:val="-17"/>
                                      <w:sz w:val="21"/>
                                    </w:rPr>
                                    <w:t xml:space="preserve">年处置 </w:t>
                                  </w:r>
                                  <w:r>
                                    <w:rPr>
                                      <w:sz w:val="21"/>
                                    </w:rPr>
                                    <w:t>1</w:t>
                                  </w:r>
                                  <w:r>
                                    <w:rPr>
                                      <w:spacing w:val="-12"/>
                                      <w:sz w:val="21"/>
                                    </w:rPr>
                                    <w:t xml:space="preserve"> 万吨及以上危险废物处置项目；年利用 </w:t>
                                  </w:r>
                                  <w:r>
                                    <w:rPr>
                                      <w:sz w:val="21"/>
                                    </w:rPr>
                                    <w:t>10</w:t>
                                  </w:r>
                                  <w:r>
                                    <w:rPr>
                                      <w:spacing w:val="-9"/>
                                      <w:sz w:val="21"/>
                                    </w:rPr>
                                    <w:t xml:space="preserve"> 万吨及以上危险废物综</w:t>
                                  </w:r>
                                </w:p>
                                <w:p>
                                  <w:pPr>
                                    <w:pStyle w:val="8"/>
                                    <w:spacing w:before="57"/>
                                    <w:ind w:left="33"/>
                                    <w:rPr>
                                      <w:sz w:val="21"/>
                                    </w:rPr>
                                  </w:pPr>
                                  <w:r>
                                    <w:rPr>
                                      <w:sz w:val="21"/>
                                    </w:rPr>
                                    <w:t>合利用项目。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521" w:type="dxa"/>
                                  <w:tcBorders>
                                    <w:top w:val="single" w:color="000000" w:sz="4" w:space="0"/>
                                    <w:bottom w:val="single" w:color="000000" w:sz="4" w:space="0"/>
                                    <w:right w:val="single" w:color="000000" w:sz="4" w:space="0"/>
                                  </w:tcBorders>
                                </w:tcPr>
                                <w:p>
                                  <w:pPr>
                                    <w:pStyle w:val="8"/>
                                    <w:spacing w:before="105"/>
                                    <w:ind w:left="29" w:right="15"/>
                                    <w:jc w:val="center"/>
                                    <w:rPr>
                                      <w:sz w:val="21"/>
                                    </w:rPr>
                                  </w:pPr>
                                  <w:r>
                                    <w:rPr>
                                      <w:sz w:val="21"/>
                                    </w:rPr>
                                    <w:t>12</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5"/>
                                    <w:ind w:left="31"/>
                                    <w:rPr>
                                      <w:sz w:val="21"/>
                                    </w:rPr>
                                  </w:pPr>
                                  <w:r>
                                    <w:rPr>
                                      <w:sz w:val="21"/>
                                    </w:rPr>
                                    <w:t>公共设施管理业</w:t>
                                  </w:r>
                                </w:p>
                              </w:tc>
                              <w:tc>
                                <w:tcPr>
                                  <w:tcW w:w="6844" w:type="dxa"/>
                                  <w:gridSpan w:val="4"/>
                                  <w:tcBorders>
                                    <w:top w:val="single" w:color="000000" w:sz="4" w:space="0"/>
                                    <w:left w:val="single" w:color="000000" w:sz="4" w:space="0"/>
                                    <w:bottom w:val="single" w:color="000000" w:sz="4" w:space="0"/>
                                  </w:tcBorders>
                                </w:tcPr>
                                <w:p>
                                  <w:pPr>
                                    <w:pStyle w:val="8"/>
                                    <w:spacing w:before="105"/>
                                    <w:ind w:left="33"/>
                                    <w:rPr>
                                      <w:sz w:val="21"/>
                                    </w:rPr>
                                  </w:pPr>
                                  <w:r>
                                    <w:rPr>
                                      <w:sz w:val="21"/>
                                    </w:rPr>
                                    <w:t>生活垃圾填埋项目；生活垃圾焚烧项目（不含发电）。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5"/>
                                    <w:ind w:left="29" w:right="15"/>
                                    <w:jc w:val="center"/>
                                    <w:rPr>
                                      <w:sz w:val="21"/>
                                    </w:rPr>
                                  </w:pPr>
                                  <w:r>
                                    <w:rPr>
                                      <w:sz w:val="21"/>
                                    </w:rPr>
                                    <w:t>13</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5"/>
                                    <w:ind w:left="31"/>
                                    <w:rPr>
                                      <w:sz w:val="21"/>
                                    </w:rPr>
                                  </w:pPr>
                                  <w:r>
                                    <w:rPr>
                                      <w:spacing w:val="-12"/>
                                      <w:sz w:val="21"/>
                                    </w:rPr>
                                    <w:t>煤炭开采和洗选业</w:t>
                                  </w:r>
                                </w:p>
                              </w:tc>
                              <w:tc>
                                <w:tcPr>
                                  <w:tcW w:w="6844" w:type="dxa"/>
                                  <w:gridSpan w:val="4"/>
                                  <w:tcBorders>
                                    <w:top w:val="single" w:color="000000" w:sz="4" w:space="0"/>
                                    <w:left w:val="single" w:color="000000" w:sz="4" w:space="0"/>
                                    <w:bottom w:val="single" w:color="000000" w:sz="4" w:space="0"/>
                                  </w:tcBorders>
                                </w:tcPr>
                                <w:p>
                                  <w:pPr>
                                    <w:pStyle w:val="8"/>
                                    <w:spacing w:before="105"/>
                                    <w:ind w:left="33"/>
                                    <w:rPr>
                                      <w:sz w:val="21"/>
                                    </w:rPr>
                                  </w:pPr>
                                  <w:r>
                                    <w:rPr>
                                      <w:sz w:val="21"/>
                                    </w:rPr>
                                    <w:t>年产 150 万吨及以上煤炭开采项目。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521" w:type="dxa"/>
                                  <w:tcBorders>
                                    <w:top w:val="single" w:color="000000" w:sz="4" w:space="0"/>
                                    <w:bottom w:val="single" w:color="000000" w:sz="4" w:space="0"/>
                                    <w:right w:val="single" w:color="000000" w:sz="4" w:space="0"/>
                                  </w:tcBorders>
                                </w:tcPr>
                                <w:p>
                                  <w:pPr>
                                    <w:pStyle w:val="8"/>
                                    <w:spacing w:before="9"/>
                                    <w:rPr>
                                      <w:sz w:val="14"/>
                                    </w:rPr>
                                  </w:pPr>
                                </w:p>
                                <w:p>
                                  <w:pPr>
                                    <w:pStyle w:val="8"/>
                                    <w:spacing w:before="1"/>
                                    <w:ind w:left="29" w:right="15"/>
                                    <w:jc w:val="center"/>
                                    <w:rPr>
                                      <w:sz w:val="21"/>
                                    </w:rPr>
                                  </w:pPr>
                                  <w:r>
                                    <w:rPr>
                                      <w:sz w:val="21"/>
                                    </w:rPr>
                                    <w:t>14</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55" w:line="242" w:lineRule="auto"/>
                                    <w:ind w:left="31" w:right="9"/>
                                    <w:rPr>
                                      <w:sz w:val="21"/>
                                    </w:rPr>
                                  </w:pPr>
                                  <w:r>
                                    <w:rPr>
                                      <w:sz w:val="21"/>
                                    </w:rPr>
                                    <w:t>石油和天然气开采业</w:t>
                                  </w:r>
                                </w:p>
                              </w:tc>
                              <w:tc>
                                <w:tcPr>
                                  <w:tcW w:w="6844" w:type="dxa"/>
                                  <w:gridSpan w:val="4"/>
                                  <w:tcBorders>
                                    <w:top w:val="single" w:color="000000" w:sz="4" w:space="0"/>
                                    <w:left w:val="single" w:color="000000" w:sz="4" w:space="0"/>
                                    <w:bottom w:val="single" w:color="000000" w:sz="4" w:space="0"/>
                                  </w:tcBorders>
                                </w:tcPr>
                                <w:p>
                                  <w:pPr>
                                    <w:pStyle w:val="8"/>
                                    <w:spacing w:line="269" w:lineRule="exact"/>
                                    <w:ind w:left="33"/>
                                    <w:rPr>
                                      <w:sz w:val="21"/>
                                    </w:rPr>
                                  </w:pPr>
                                  <w:r>
                                    <w:rPr>
                                      <w:spacing w:val="-23"/>
                                      <w:sz w:val="21"/>
                                    </w:rPr>
                                    <w:t xml:space="preserve">年产 </w:t>
                                  </w:r>
                                  <w:r>
                                    <w:rPr>
                                      <w:sz w:val="21"/>
                                    </w:rPr>
                                    <w:t>20</w:t>
                                  </w:r>
                                  <w:r>
                                    <w:rPr>
                                      <w:spacing w:val="-12"/>
                                      <w:sz w:val="21"/>
                                    </w:rPr>
                                    <w:t xml:space="preserve"> 亿立方米及以上天然气新区块开发项目；年产 </w:t>
                                  </w:r>
                                  <w:r>
                                    <w:rPr>
                                      <w:sz w:val="21"/>
                                    </w:rPr>
                                    <w:t>100</w:t>
                                  </w:r>
                                  <w:r>
                                    <w:rPr>
                                      <w:spacing w:val="-10"/>
                                      <w:sz w:val="21"/>
                                    </w:rPr>
                                    <w:t xml:space="preserve"> 万吨及以上石油</w:t>
                                  </w:r>
                                </w:p>
                                <w:p>
                                  <w:pPr>
                                    <w:pStyle w:val="8"/>
                                    <w:spacing w:before="57"/>
                                    <w:ind w:left="33"/>
                                    <w:rPr>
                                      <w:sz w:val="21"/>
                                    </w:rPr>
                                  </w:pPr>
                                  <w:r>
                                    <w:rPr>
                                      <w:sz w:val="21"/>
                                    </w:rPr>
                                    <w:t>开采新区块开发项目；新建海洋油气开发项目。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29" w:right="15"/>
                                    <w:jc w:val="center"/>
                                    <w:rPr>
                                      <w:sz w:val="21"/>
                                    </w:rPr>
                                  </w:pPr>
                                  <w:r>
                                    <w:rPr>
                                      <w:sz w:val="21"/>
                                    </w:rPr>
                                    <w:t>15</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pacing w:val="-12"/>
                                      <w:sz w:val="21"/>
                                    </w:rPr>
                                    <w:t>黑色金属矿采选业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年产 500 万吨及以上的铁矿采选项目。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29" w:right="15"/>
                                    <w:jc w:val="center"/>
                                    <w:rPr>
                                      <w:sz w:val="21"/>
                                    </w:rPr>
                                  </w:pPr>
                                  <w:r>
                                    <w:rPr>
                                      <w:sz w:val="21"/>
                                    </w:rPr>
                                    <w:t>16</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pacing w:val="-12"/>
                                      <w:sz w:val="21"/>
                                    </w:rPr>
                                    <w:t>有色金属矿采选业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有色金属矿采选项目。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521" w:type="dxa"/>
                                  <w:tcBorders>
                                    <w:top w:val="single" w:color="000000" w:sz="4" w:space="0"/>
                                    <w:bottom w:val="single" w:color="000000" w:sz="4" w:space="0"/>
                                    <w:right w:val="single" w:color="000000" w:sz="4" w:space="0"/>
                                  </w:tcBorders>
                                </w:tcPr>
                                <w:p>
                                  <w:pPr>
                                    <w:pStyle w:val="8"/>
                                    <w:spacing w:before="11"/>
                                    <w:rPr>
                                      <w:sz w:val="14"/>
                                    </w:rPr>
                                  </w:pPr>
                                </w:p>
                                <w:p>
                                  <w:pPr>
                                    <w:pStyle w:val="8"/>
                                    <w:ind w:left="29" w:right="15"/>
                                    <w:jc w:val="center"/>
                                    <w:rPr>
                                      <w:sz w:val="21"/>
                                    </w:rPr>
                                  </w:pPr>
                                  <w:r>
                                    <w:rPr>
                                      <w:sz w:val="21"/>
                                    </w:rPr>
                                    <w:t>17</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4"/>
                                    </w:rPr>
                                  </w:pPr>
                                </w:p>
                                <w:p>
                                  <w:pPr>
                                    <w:pStyle w:val="8"/>
                                    <w:ind w:left="31"/>
                                    <w:rPr>
                                      <w:sz w:val="21"/>
                                    </w:rPr>
                                  </w:pPr>
                                  <w:r>
                                    <w:rPr>
                                      <w:sz w:val="21"/>
                                    </w:rPr>
                                    <w:t>水利</w:t>
                                  </w:r>
                                </w:p>
                              </w:tc>
                              <w:tc>
                                <w:tcPr>
                                  <w:tcW w:w="6844" w:type="dxa"/>
                                  <w:gridSpan w:val="4"/>
                                  <w:tcBorders>
                                    <w:top w:val="single" w:color="000000" w:sz="4" w:space="0"/>
                                    <w:left w:val="single" w:color="000000" w:sz="4" w:space="0"/>
                                    <w:bottom w:val="single" w:color="000000" w:sz="4" w:space="0"/>
                                  </w:tcBorders>
                                </w:tcPr>
                                <w:p>
                                  <w:pPr>
                                    <w:pStyle w:val="8"/>
                                    <w:spacing w:before="1"/>
                                    <w:ind w:left="33"/>
                                    <w:rPr>
                                      <w:sz w:val="21"/>
                                    </w:rPr>
                                  </w:pPr>
                                  <w:r>
                                    <w:rPr>
                                      <w:spacing w:val="-6"/>
                                      <w:sz w:val="21"/>
                                    </w:rPr>
                                    <w:t>在跨界、跨省</w:t>
                                  </w:r>
                                  <w:r>
                                    <w:rPr>
                                      <w:spacing w:val="-5"/>
                                      <w:sz w:val="21"/>
                                    </w:rPr>
                                    <w:t>（</w:t>
                                  </w:r>
                                  <w:r>
                                    <w:rPr>
                                      <w:spacing w:val="-4"/>
                                      <w:sz w:val="21"/>
                                    </w:rPr>
                                    <w:t>区、市</w:t>
                                  </w:r>
                                  <w:r>
                                    <w:rPr>
                                      <w:spacing w:val="-5"/>
                                      <w:sz w:val="21"/>
                                    </w:rPr>
                                    <w:t>）</w:t>
                                  </w:r>
                                  <w:r>
                                    <w:rPr>
                                      <w:spacing w:val="-11"/>
                                      <w:sz w:val="21"/>
                                    </w:rPr>
                                    <w:t xml:space="preserve">河流上建设的库容 </w:t>
                                  </w:r>
                                  <w:r>
                                    <w:rPr>
                                      <w:sz w:val="21"/>
                                    </w:rPr>
                                    <w:t>1000</w:t>
                                  </w:r>
                                  <w:r>
                                    <w:rPr>
                                      <w:spacing w:val="-11"/>
                                      <w:sz w:val="21"/>
                                    </w:rPr>
                                    <w:t xml:space="preserve"> 万立方米及以上水库项目</w:t>
                                  </w:r>
                                </w:p>
                                <w:p>
                                  <w:pPr>
                                    <w:pStyle w:val="8"/>
                                    <w:spacing w:before="57"/>
                                    <w:ind w:left="33"/>
                                    <w:rPr>
                                      <w:sz w:val="21"/>
                                    </w:rPr>
                                  </w:pPr>
                                  <w:r>
                                    <w:rPr>
                                      <w:sz w:val="21"/>
                                    </w:rPr>
                                    <w:t>涉及跨界河流、跨省（区、市）的水资源配置调整项目。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1" w:hRule="atLeast"/>
                              </w:trPr>
                              <w:tc>
                                <w:tcPr>
                                  <w:tcW w:w="521" w:type="dxa"/>
                                  <w:tcBorders>
                                    <w:top w:val="single" w:color="000000" w:sz="4" w:space="0"/>
                                    <w:right w:val="single" w:color="000000" w:sz="4" w:space="0"/>
                                  </w:tcBorders>
                                </w:tcPr>
                                <w:p>
                                  <w:pPr>
                                    <w:pStyle w:val="8"/>
                                    <w:spacing w:before="10"/>
                                    <w:rPr>
                                      <w:sz w:val="14"/>
                                    </w:rPr>
                                  </w:pPr>
                                </w:p>
                                <w:p>
                                  <w:pPr>
                                    <w:pStyle w:val="8"/>
                                    <w:ind w:left="29" w:right="15"/>
                                    <w:jc w:val="center"/>
                                    <w:rPr>
                                      <w:sz w:val="21"/>
                                    </w:rPr>
                                  </w:pPr>
                                  <w:r>
                                    <w:rPr>
                                      <w:sz w:val="21"/>
                                    </w:rPr>
                                    <w:t>18</w:t>
                                  </w:r>
                                </w:p>
                              </w:tc>
                              <w:tc>
                                <w:tcPr>
                                  <w:tcW w:w="1654" w:type="dxa"/>
                                  <w:tcBorders>
                                    <w:top w:val="single" w:color="000000" w:sz="4" w:space="0"/>
                                    <w:left w:val="single" w:color="000000" w:sz="4" w:space="0"/>
                                    <w:right w:val="single" w:color="000000" w:sz="4" w:space="0"/>
                                  </w:tcBorders>
                                </w:tcPr>
                                <w:p>
                                  <w:pPr>
                                    <w:pStyle w:val="8"/>
                                    <w:spacing w:before="10"/>
                                    <w:rPr>
                                      <w:sz w:val="14"/>
                                    </w:rPr>
                                  </w:pPr>
                                </w:p>
                                <w:p>
                                  <w:pPr>
                                    <w:pStyle w:val="8"/>
                                    <w:ind w:left="31"/>
                                    <w:rPr>
                                      <w:sz w:val="21"/>
                                    </w:rPr>
                                  </w:pPr>
                                  <w:r>
                                    <w:rPr>
                                      <w:sz w:val="21"/>
                                    </w:rPr>
                                    <w:t>海洋工程</w:t>
                                  </w:r>
                                </w:p>
                              </w:tc>
                              <w:tc>
                                <w:tcPr>
                                  <w:tcW w:w="6844" w:type="dxa"/>
                                  <w:gridSpan w:val="4"/>
                                  <w:tcBorders>
                                    <w:top w:val="single" w:color="000000" w:sz="4" w:space="0"/>
                                    <w:left w:val="single" w:color="000000" w:sz="4" w:space="0"/>
                                  </w:tcBorders>
                                </w:tcPr>
                                <w:p>
                                  <w:pPr>
                                    <w:pStyle w:val="8"/>
                                    <w:spacing w:line="269" w:lineRule="exact"/>
                                    <w:ind w:left="33"/>
                                    <w:rPr>
                                      <w:sz w:val="21"/>
                                    </w:rPr>
                                  </w:pPr>
                                  <w:r>
                                    <w:rPr>
                                      <w:sz w:val="21"/>
                                    </w:rPr>
                                    <w:t>50</w:t>
                                  </w:r>
                                  <w:r>
                                    <w:rPr>
                                      <w:spacing w:val="-13"/>
                                      <w:sz w:val="21"/>
                                    </w:rPr>
                                    <w:t xml:space="preserve"> 公顷及以上的填海项目；</w:t>
                                  </w:r>
                                  <w:r>
                                    <w:rPr>
                                      <w:spacing w:val="-17"/>
                                      <w:sz w:val="21"/>
                                    </w:rPr>
                                    <w:t>100</w:t>
                                  </w:r>
                                  <w:r>
                                    <w:rPr>
                                      <w:spacing w:val="-15"/>
                                      <w:sz w:val="21"/>
                                    </w:rPr>
                                    <w:t xml:space="preserve"> 公顷及以上的围海项目；跨海桥梁工程项目</w:t>
                                  </w:r>
                                </w:p>
                                <w:p>
                                  <w:pPr>
                                    <w:pStyle w:val="8"/>
                                    <w:spacing w:before="57"/>
                                    <w:ind w:left="33"/>
                                    <w:rPr>
                                      <w:sz w:val="21"/>
                                    </w:rPr>
                                  </w:pPr>
                                  <w:r>
                                    <w:rPr>
                                      <w:sz w:val="21"/>
                                    </w:rPr>
                                    <w:t>长度 1.0 公里及以上的海底隧道项目。</w:t>
                                  </w:r>
                                </w:p>
                              </w:tc>
                            </w:tr>
                          </w:tbl>
                          <w:p>
                            <w:pPr>
                              <w:pStyle w:val="3"/>
                            </w:pPr>
                          </w:p>
                        </w:txbxContent>
                      </wps:txbx>
                      <wps:bodyPr lIns="0" tIns="0" rIns="0" bIns="0" upright="1"/>
                    </wps:wsp>
                  </a:graphicData>
                </a:graphic>
              </wp:anchor>
            </w:drawing>
          </mc:Choice>
          <mc:Fallback>
            <w:pict>
              <v:shape id="文本框 2" o:spid="_x0000_s1026" o:spt="202" type="#_x0000_t202" style="position:absolute;left:0pt;margin-left:71.7pt;margin-top:-71.35pt;height:554.65pt;width:452.4pt;mso-position-horizontal-relative:page;z-index:251658240;mso-width-relative:page;mso-height-relative:page;" filled="f" stroked="f" coordsize="21600,21600" o:gfxdata="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SUtUbbAAAADQEAAA8AAAAA&#10;AAAAAQAgAAAAIgAAAGRycy9kb3ducmV2LnhtbFBLAQIUABQAAAAIAIdO4kDA+mVgnwEAACUDAAAO&#10;AAAAAAAAAAEAIAAAACoBAABkcnMvZTJvRG9jLnhtbFBLBQYAAAAABgAGAFkBAAA7BQ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1"/>
                        <w:gridCol w:w="1654"/>
                        <w:gridCol w:w="3016"/>
                        <w:gridCol w:w="408"/>
                        <w:gridCol w:w="408"/>
                        <w:gridCol w:w="30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bottom w:val="single" w:color="000000" w:sz="4" w:space="0"/>
                              <w:right w:val="single" w:color="000000" w:sz="4" w:space="0"/>
                            </w:tcBorders>
                          </w:tcPr>
                          <w:p>
                            <w:pPr>
                              <w:pStyle w:val="8"/>
                              <w:spacing w:before="105"/>
                              <w:ind w:left="30" w:right="15"/>
                              <w:jc w:val="center"/>
                              <w:rPr>
                                <w:rFonts w:hint="eastAsia" w:ascii="黑体" w:eastAsia="黑体"/>
                                <w:sz w:val="21"/>
                              </w:rPr>
                            </w:pPr>
                            <w:r>
                              <w:rPr>
                                <w:rFonts w:hint="eastAsia" w:ascii="黑体" w:eastAsia="黑体"/>
                                <w:sz w:val="21"/>
                              </w:rPr>
                              <w:t>序号</w:t>
                            </w:r>
                          </w:p>
                        </w:tc>
                        <w:tc>
                          <w:tcPr>
                            <w:tcW w:w="1654" w:type="dxa"/>
                            <w:tcBorders>
                              <w:left w:val="single" w:color="000000" w:sz="4" w:space="0"/>
                              <w:bottom w:val="single" w:color="000000" w:sz="4" w:space="0"/>
                              <w:right w:val="single" w:color="000000" w:sz="4" w:space="0"/>
                            </w:tcBorders>
                          </w:tcPr>
                          <w:p>
                            <w:pPr>
                              <w:pStyle w:val="8"/>
                              <w:spacing w:before="105"/>
                              <w:ind w:left="420"/>
                              <w:rPr>
                                <w:rFonts w:hint="eastAsia" w:ascii="黑体" w:eastAsia="黑体"/>
                                <w:sz w:val="21"/>
                              </w:rPr>
                            </w:pPr>
                            <w:r>
                              <w:rPr>
                                <w:rFonts w:hint="eastAsia" w:ascii="黑体" w:eastAsia="黑体"/>
                                <w:sz w:val="21"/>
                              </w:rPr>
                              <w:t>项目类别</w:t>
                            </w:r>
                          </w:p>
                        </w:tc>
                        <w:tc>
                          <w:tcPr>
                            <w:tcW w:w="3016" w:type="dxa"/>
                            <w:tcBorders>
                              <w:left w:val="single" w:color="000000" w:sz="4" w:space="0"/>
                              <w:bottom w:val="single" w:color="000000" w:sz="4" w:space="0"/>
                              <w:right w:val="nil"/>
                            </w:tcBorders>
                          </w:tcPr>
                          <w:p>
                            <w:pPr>
                              <w:pStyle w:val="8"/>
                              <w:spacing w:before="105"/>
                              <w:ind w:right="89"/>
                              <w:jc w:val="right"/>
                              <w:rPr>
                                <w:rFonts w:hint="eastAsia" w:ascii="黑体" w:eastAsia="黑体"/>
                                <w:sz w:val="21"/>
                              </w:rPr>
                            </w:pPr>
                            <w:r>
                              <w:rPr>
                                <w:rFonts w:hint="eastAsia" w:ascii="黑体" w:eastAsia="黑体"/>
                                <w:w w:val="99"/>
                                <w:sz w:val="21"/>
                              </w:rPr>
                              <w:t>重</w:t>
                            </w:r>
                          </w:p>
                        </w:tc>
                        <w:tc>
                          <w:tcPr>
                            <w:tcW w:w="408" w:type="dxa"/>
                            <w:tcBorders>
                              <w:left w:val="nil"/>
                              <w:bottom w:val="single" w:color="000000" w:sz="4" w:space="0"/>
                              <w:right w:val="nil"/>
                            </w:tcBorders>
                          </w:tcPr>
                          <w:p>
                            <w:pPr>
                              <w:pStyle w:val="8"/>
                              <w:spacing w:before="105"/>
                              <w:ind w:left="109"/>
                              <w:rPr>
                                <w:rFonts w:hint="eastAsia" w:ascii="黑体" w:eastAsia="黑体"/>
                                <w:sz w:val="21"/>
                              </w:rPr>
                            </w:pPr>
                            <w:r>
                              <w:rPr>
                                <w:rFonts w:hint="eastAsia" w:ascii="黑体" w:eastAsia="黑体"/>
                                <w:w w:val="99"/>
                                <w:sz w:val="21"/>
                              </w:rPr>
                              <w:t>点</w:t>
                            </w:r>
                          </w:p>
                        </w:tc>
                        <w:tc>
                          <w:tcPr>
                            <w:tcW w:w="408" w:type="dxa"/>
                            <w:tcBorders>
                              <w:left w:val="nil"/>
                              <w:bottom w:val="single" w:color="000000" w:sz="4" w:space="0"/>
                              <w:right w:val="nil"/>
                            </w:tcBorders>
                          </w:tcPr>
                          <w:p>
                            <w:pPr>
                              <w:pStyle w:val="8"/>
                              <w:spacing w:before="105"/>
                              <w:ind w:left="109"/>
                              <w:rPr>
                                <w:rFonts w:hint="eastAsia" w:ascii="黑体" w:eastAsia="黑体"/>
                                <w:sz w:val="21"/>
                              </w:rPr>
                            </w:pPr>
                            <w:r>
                              <w:rPr>
                                <w:rFonts w:hint="eastAsia" w:ascii="黑体" w:eastAsia="黑体"/>
                                <w:w w:val="99"/>
                                <w:sz w:val="21"/>
                              </w:rPr>
                              <w:t>项</w:t>
                            </w:r>
                          </w:p>
                        </w:tc>
                        <w:tc>
                          <w:tcPr>
                            <w:tcW w:w="3012" w:type="dxa"/>
                            <w:tcBorders>
                              <w:left w:val="nil"/>
                              <w:bottom w:val="single" w:color="000000" w:sz="4" w:space="0"/>
                            </w:tcBorders>
                          </w:tcPr>
                          <w:p>
                            <w:pPr>
                              <w:pStyle w:val="8"/>
                              <w:spacing w:before="105"/>
                              <w:ind w:left="109"/>
                              <w:rPr>
                                <w:rFonts w:hint="eastAsia" w:ascii="黑体" w:eastAsia="黑体"/>
                                <w:sz w:val="21"/>
                              </w:rPr>
                            </w:pPr>
                            <w:r>
                              <w:rPr>
                                <w:rFonts w:hint="eastAsia" w:ascii="黑体" w:eastAsia="黑体"/>
                                <w:w w:val="99"/>
                                <w:sz w:val="21"/>
                              </w:rPr>
                              <w:t>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16"/>
                              <w:jc w:val="center"/>
                              <w:rPr>
                                <w:sz w:val="21"/>
                              </w:rPr>
                            </w:pPr>
                            <w:r>
                              <w:rPr>
                                <w:w w:val="99"/>
                                <w:sz w:val="21"/>
                              </w:rPr>
                              <w:t>1</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z w:val="21"/>
                              </w:rPr>
                              <w:t>纺织业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有洗毛、染整、脱胶工段的纺织品制造项目。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5"/>
                              <w:ind w:left="16"/>
                              <w:jc w:val="center"/>
                              <w:rPr>
                                <w:sz w:val="21"/>
                              </w:rPr>
                            </w:pPr>
                            <w:r>
                              <w:rPr>
                                <w:w w:val="99"/>
                                <w:sz w:val="21"/>
                              </w:rPr>
                              <w:t>2</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5"/>
                              <w:ind w:left="31"/>
                              <w:rPr>
                                <w:sz w:val="21"/>
                              </w:rPr>
                            </w:pPr>
                            <w:r>
                              <w:rPr>
                                <w:sz w:val="21"/>
                              </w:rPr>
                              <w:t>造纸和纸制品业</w:t>
                            </w:r>
                          </w:p>
                        </w:tc>
                        <w:tc>
                          <w:tcPr>
                            <w:tcW w:w="6844" w:type="dxa"/>
                            <w:gridSpan w:val="4"/>
                            <w:tcBorders>
                              <w:top w:val="single" w:color="000000" w:sz="4" w:space="0"/>
                              <w:left w:val="single" w:color="000000" w:sz="4" w:space="0"/>
                              <w:bottom w:val="single" w:color="000000" w:sz="4" w:space="0"/>
                            </w:tcBorders>
                          </w:tcPr>
                          <w:p>
                            <w:pPr>
                              <w:pStyle w:val="8"/>
                              <w:spacing w:before="105"/>
                              <w:ind w:left="33"/>
                              <w:rPr>
                                <w:sz w:val="21"/>
                              </w:rPr>
                            </w:pPr>
                            <w:r>
                              <w:rPr>
                                <w:sz w:val="21"/>
                              </w:rPr>
                              <w:t>纸浆、溶解浆、纤维浆等制造项目；造纸项目。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521" w:type="dxa"/>
                            <w:tcBorders>
                              <w:top w:val="single" w:color="000000" w:sz="4" w:space="0"/>
                              <w:bottom w:val="single" w:color="000000" w:sz="4" w:space="0"/>
                              <w:right w:val="single" w:color="000000" w:sz="4" w:space="0"/>
                            </w:tcBorders>
                          </w:tcPr>
                          <w:p>
                            <w:pPr>
                              <w:pStyle w:val="8"/>
                              <w:spacing w:before="11"/>
                              <w:rPr>
                                <w:sz w:val="14"/>
                              </w:rPr>
                            </w:pPr>
                          </w:p>
                          <w:p>
                            <w:pPr>
                              <w:pStyle w:val="8"/>
                              <w:spacing w:before="1"/>
                              <w:ind w:left="16"/>
                              <w:jc w:val="center"/>
                              <w:rPr>
                                <w:sz w:val="21"/>
                              </w:rPr>
                            </w:pPr>
                            <w:r>
                              <w:rPr>
                                <w:w w:val="99"/>
                                <w:sz w:val="21"/>
                              </w:rPr>
                              <w:t>3</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4"/>
                              </w:rPr>
                            </w:pPr>
                          </w:p>
                          <w:p>
                            <w:pPr>
                              <w:pStyle w:val="8"/>
                              <w:spacing w:before="1"/>
                              <w:ind w:left="31"/>
                              <w:rPr>
                                <w:sz w:val="21"/>
                              </w:rPr>
                            </w:pPr>
                            <w:r>
                              <w:rPr>
                                <w:w w:val="95"/>
                                <w:sz w:val="21"/>
                              </w:rPr>
                              <w:t>石油加工、炼焦业</w:t>
                            </w:r>
                          </w:p>
                        </w:tc>
                        <w:tc>
                          <w:tcPr>
                            <w:tcW w:w="6844" w:type="dxa"/>
                            <w:gridSpan w:val="4"/>
                            <w:tcBorders>
                              <w:top w:val="single" w:color="000000" w:sz="4" w:space="0"/>
                              <w:left w:val="single" w:color="000000" w:sz="4" w:space="0"/>
                              <w:bottom w:val="single" w:color="000000" w:sz="4" w:space="0"/>
                            </w:tcBorders>
                          </w:tcPr>
                          <w:p>
                            <w:pPr>
                              <w:pStyle w:val="8"/>
                              <w:spacing w:before="1"/>
                              <w:ind w:left="33"/>
                              <w:rPr>
                                <w:sz w:val="21"/>
                              </w:rPr>
                            </w:pPr>
                            <w:r>
                              <w:rPr>
                                <w:spacing w:val="-13"/>
                                <w:sz w:val="21"/>
                              </w:rPr>
                              <w:t>炼油项目；乙烯项目；低阶煤分质利用项目；煤制天然气、油、化学品项目</w:t>
                            </w:r>
                          </w:p>
                          <w:p>
                            <w:pPr>
                              <w:pStyle w:val="8"/>
                              <w:spacing w:before="58"/>
                              <w:ind w:left="33"/>
                              <w:rPr>
                                <w:sz w:val="21"/>
                              </w:rPr>
                            </w:pPr>
                            <w:r>
                              <w:rPr>
                                <w:sz w:val="21"/>
                              </w:rPr>
                              <w:t>焦化项目。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521" w:type="dxa"/>
                            <w:tcBorders>
                              <w:top w:val="single" w:color="000000" w:sz="4" w:space="0"/>
                              <w:bottom w:val="single" w:color="000000" w:sz="4" w:space="0"/>
                              <w:right w:val="single" w:color="000000" w:sz="4" w:space="0"/>
                            </w:tcBorders>
                          </w:tcPr>
                          <w:p>
                            <w:pPr>
                              <w:pStyle w:val="8"/>
                              <w:spacing w:before="6"/>
                              <w:rPr>
                                <w:sz w:val="27"/>
                              </w:rPr>
                            </w:pPr>
                          </w:p>
                          <w:p>
                            <w:pPr>
                              <w:pStyle w:val="8"/>
                              <w:spacing w:before="1"/>
                              <w:ind w:left="16"/>
                              <w:jc w:val="center"/>
                              <w:rPr>
                                <w:sz w:val="21"/>
                              </w:rPr>
                            </w:pPr>
                            <w:r>
                              <w:rPr>
                                <w:w w:val="99"/>
                                <w:sz w:val="21"/>
                              </w:rPr>
                              <w:t>4</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6"/>
                              </w:rPr>
                            </w:pPr>
                          </w:p>
                          <w:p>
                            <w:pPr>
                              <w:pStyle w:val="8"/>
                              <w:spacing w:line="244" w:lineRule="auto"/>
                              <w:ind w:left="31" w:right="9"/>
                              <w:rPr>
                                <w:sz w:val="21"/>
                              </w:rPr>
                            </w:pPr>
                            <w:r>
                              <w:rPr>
                                <w:sz w:val="21"/>
                              </w:rPr>
                              <w:t>化学原料和化学制品制造业</w:t>
                            </w:r>
                          </w:p>
                        </w:tc>
                        <w:tc>
                          <w:tcPr>
                            <w:tcW w:w="6844" w:type="dxa"/>
                            <w:gridSpan w:val="4"/>
                            <w:tcBorders>
                              <w:top w:val="single" w:color="000000" w:sz="4" w:space="0"/>
                              <w:left w:val="single" w:color="000000" w:sz="4" w:space="0"/>
                              <w:bottom w:val="single" w:color="000000" w:sz="4" w:space="0"/>
                            </w:tcBorders>
                          </w:tcPr>
                          <w:p>
                            <w:pPr>
                              <w:pStyle w:val="8"/>
                              <w:spacing w:line="290" w:lineRule="auto"/>
                              <w:ind w:left="33" w:right="1"/>
                              <w:rPr>
                                <w:sz w:val="21"/>
                              </w:rPr>
                            </w:pPr>
                            <w:r>
                              <w:rPr>
                                <w:spacing w:val="-1"/>
                                <w:w w:val="95"/>
                                <w:sz w:val="21"/>
                              </w:rPr>
                              <w:t>铬盐生产项目；氰化物生产项目；精对苯二甲酸</w:t>
                            </w:r>
                            <w:r>
                              <w:rPr>
                                <w:w w:val="95"/>
                                <w:sz w:val="21"/>
                              </w:rPr>
                              <w:t xml:space="preserve">（PTA）、对二甲苯（PX）  </w:t>
                            </w:r>
                            <w:r>
                              <w:rPr>
                                <w:spacing w:val="-5"/>
                                <w:w w:val="95"/>
                                <w:sz w:val="21"/>
                              </w:rPr>
                              <w:t>项目；二苯基甲烷二异氰酸酯</w:t>
                            </w:r>
                            <w:r>
                              <w:rPr>
                                <w:spacing w:val="-3"/>
                                <w:w w:val="95"/>
                                <w:sz w:val="21"/>
                              </w:rPr>
                              <w:t>（MDI）</w:t>
                            </w:r>
                            <w:r>
                              <w:rPr>
                                <w:spacing w:val="-5"/>
                                <w:w w:val="95"/>
                                <w:sz w:val="21"/>
                              </w:rPr>
                              <w:t>、甲苯二异氰酸酯</w:t>
                            </w:r>
                            <w:r>
                              <w:rPr>
                                <w:spacing w:val="-4"/>
                                <w:w w:val="95"/>
                                <w:sz w:val="21"/>
                              </w:rPr>
                              <w:t>（TDI）项目；电石</w:t>
                            </w:r>
                          </w:p>
                          <w:p>
                            <w:pPr>
                              <w:pStyle w:val="8"/>
                              <w:spacing w:before="1"/>
                              <w:ind w:left="33"/>
                              <w:rPr>
                                <w:sz w:val="21"/>
                              </w:rPr>
                            </w:pPr>
                            <w:r>
                              <w:rPr>
                                <w:sz w:val="21"/>
                              </w:rPr>
                              <w:t>法聚氯乙烯项目；农药原药生产项目。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16"/>
                              <w:jc w:val="center"/>
                              <w:rPr>
                                <w:sz w:val="21"/>
                              </w:rPr>
                            </w:pPr>
                            <w:r>
                              <w:rPr>
                                <w:w w:val="99"/>
                                <w:sz w:val="21"/>
                              </w:rPr>
                              <w:t>5</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z w:val="21"/>
                              </w:rPr>
                              <w:t>医药制造业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原料药生产项目。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521" w:type="dxa"/>
                            <w:tcBorders>
                              <w:top w:val="single" w:color="000000" w:sz="4" w:space="0"/>
                              <w:bottom w:val="single" w:color="000000" w:sz="4" w:space="0"/>
                              <w:right w:val="single" w:color="000000" w:sz="4" w:space="0"/>
                            </w:tcBorders>
                          </w:tcPr>
                          <w:p>
                            <w:pPr>
                              <w:pStyle w:val="8"/>
                              <w:spacing w:before="135"/>
                              <w:ind w:left="16"/>
                              <w:jc w:val="center"/>
                              <w:rPr>
                                <w:sz w:val="21"/>
                              </w:rPr>
                            </w:pPr>
                            <w:r>
                              <w:rPr>
                                <w:w w:val="99"/>
                                <w:sz w:val="21"/>
                              </w:rPr>
                              <w:t>6</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
                              <w:ind w:left="31"/>
                              <w:rPr>
                                <w:sz w:val="21"/>
                              </w:rPr>
                            </w:pPr>
                            <w:r>
                              <w:rPr>
                                <w:sz w:val="21"/>
                              </w:rPr>
                              <w:t>黑色金属冶炼和</w:t>
                            </w:r>
                          </w:p>
                          <w:p>
                            <w:pPr>
                              <w:pStyle w:val="8"/>
                              <w:spacing w:before="2" w:line="253" w:lineRule="exact"/>
                              <w:ind w:left="31"/>
                              <w:rPr>
                                <w:sz w:val="21"/>
                              </w:rPr>
                            </w:pPr>
                            <w:r>
                              <w:rPr>
                                <w:sz w:val="21"/>
                              </w:rPr>
                              <w:t>压延加工业</w:t>
                            </w:r>
                          </w:p>
                        </w:tc>
                        <w:tc>
                          <w:tcPr>
                            <w:tcW w:w="6844" w:type="dxa"/>
                            <w:gridSpan w:val="4"/>
                            <w:tcBorders>
                              <w:top w:val="single" w:color="000000" w:sz="4" w:space="0"/>
                              <w:left w:val="single" w:color="000000" w:sz="4" w:space="0"/>
                              <w:bottom w:val="single" w:color="000000" w:sz="4" w:space="0"/>
                            </w:tcBorders>
                          </w:tcPr>
                          <w:p>
                            <w:pPr>
                              <w:pStyle w:val="8"/>
                              <w:spacing w:before="135"/>
                              <w:ind w:left="33"/>
                              <w:rPr>
                                <w:sz w:val="21"/>
                              </w:rPr>
                            </w:pPr>
                            <w:r>
                              <w:rPr>
                                <w:sz w:val="21"/>
                              </w:rPr>
                              <w:t>炼铁、球团、烧结项目；炼钢项目。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521" w:type="dxa"/>
                            <w:tcBorders>
                              <w:top w:val="single" w:color="000000" w:sz="4" w:space="0"/>
                              <w:bottom w:val="single" w:color="000000" w:sz="4" w:space="0"/>
                              <w:right w:val="single" w:color="000000" w:sz="4" w:space="0"/>
                            </w:tcBorders>
                          </w:tcPr>
                          <w:p>
                            <w:pPr>
                              <w:pStyle w:val="8"/>
                              <w:spacing w:before="135"/>
                              <w:ind w:left="16"/>
                              <w:jc w:val="center"/>
                              <w:rPr>
                                <w:sz w:val="21"/>
                              </w:rPr>
                            </w:pPr>
                            <w:r>
                              <w:rPr>
                                <w:w w:val="99"/>
                                <w:sz w:val="21"/>
                              </w:rPr>
                              <w:t>7</w:t>
                            </w:r>
                          </w:p>
                        </w:tc>
                        <w:tc>
                          <w:tcPr>
                            <w:tcW w:w="1654" w:type="dxa"/>
                            <w:tcBorders>
                              <w:top w:val="single" w:color="000000" w:sz="4" w:space="0"/>
                              <w:left w:val="single" w:color="000000" w:sz="4" w:space="0"/>
                              <w:bottom w:val="single" w:color="000000" w:sz="4" w:space="0"/>
                              <w:right w:val="single" w:color="000000" w:sz="4" w:space="0"/>
                            </w:tcBorders>
                          </w:tcPr>
                          <w:p>
                            <w:pPr>
                              <w:pStyle w:val="8"/>
                              <w:ind w:left="31"/>
                              <w:rPr>
                                <w:sz w:val="21"/>
                              </w:rPr>
                            </w:pPr>
                            <w:r>
                              <w:rPr>
                                <w:sz w:val="21"/>
                              </w:rPr>
                              <w:t>有色金属冶炼和</w:t>
                            </w:r>
                          </w:p>
                          <w:p>
                            <w:pPr>
                              <w:pStyle w:val="8"/>
                              <w:spacing w:before="5" w:line="251" w:lineRule="exact"/>
                              <w:ind w:left="31"/>
                              <w:rPr>
                                <w:sz w:val="21"/>
                              </w:rPr>
                            </w:pPr>
                            <w:r>
                              <w:rPr>
                                <w:sz w:val="21"/>
                              </w:rPr>
                              <w:t>压延加工业</w:t>
                            </w:r>
                          </w:p>
                        </w:tc>
                        <w:tc>
                          <w:tcPr>
                            <w:tcW w:w="6844" w:type="dxa"/>
                            <w:gridSpan w:val="4"/>
                            <w:tcBorders>
                              <w:top w:val="single" w:color="000000" w:sz="4" w:space="0"/>
                              <w:left w:val="single" w:color="000000" w:sz="4" w:space="0"/>
                              <w:bottom w:val="single" w:color="000000" w:sz="4" w:space="0"/>
                            </w:tcBorders>
                          </w:tcPr>
                          <w:p>
                            <w:pPr>
                              <w:pStyle w:val="8"/>
                              <w:spacing w:before="135"/>
                              <w:ind w:left="33"/>
                              <w:rPr>
                                <w:sz w:val="21"/>
                              </w:rPr>
                            </w:pPr>
                            <w:r>
                              <w:rPr>
                                <w:sz w:val="21"/>
                              </w:rPr>
                              <w:t>有色金属冶炼项目（含再生有色金属冶炼）。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521" w:type="dxa"/>
                            <w:tcBorders>
                              <w:top w:val="single" w:color="000000" w:sz="4" w:space="0"/>
                              <w:bottom w:val="single" w:color="000000" w:sz="4" w:space="0"/>
                              <w:right w:val="single" w:color="000000" w:sz="4" w:space="0"/>
                            </w:tcBorders>
                          </w:tcPr>
                          <w:p>
                            <w:pPr>
                              <w:pStyle w:val="8"/>
                              <w:spacing w:before="134"/>
                              <w:ind w:left="16"/>
                              <w:jc w:val="center"/>
                              <w:rPr>
                                <w:sz w:val="21"/>
                              </w:rPr>
                            </w:pPr>
                            <w:r>
                              <w:rPr>
                                <w:w w:val="99"/>
                                <w:sz w:val="21"/>
                              </w:rPr>
                              <w:t>8</w:t>
                            </w:r>
                          </w:p>
                        </w:tc>
                        <w:tc>
                          <w:tcPr>
                            <w:tcW w:w="1654" w:type="dxa"/>
                            <w:tcBorders>
                              <w:top w:val="single" w:color="000000" w:sz="4" w:space="0"/>
                              <w:left w:val="single" w:color="000000" w:sz="4" w:space="0"/>
                              <w:bottom w:val="single" w:color="000000" w:sz="4" w:space="0"/>
                              <w:right w:val="single" w:color="000000" w:sz="4" w:space="0"/>
                            </w:tcBorders>
                          </w:tcPr>
                          <w:p>
                            <w:pPr>
                              <w:pStyle w:val="8"/>
                              <w:ind w:left="31"/>
                              <w:rPr>
                                <w:sz w:val="21"/>
                              </w:rPr>
                            </w:pPr>
                            <w:r>
                              <w:rPr>
                                <w:sz w:val="21"/>
                              </w:rPr>
                              <w:t>电气机械和器材</w:t>
                            </w:r>
                          </w:p>
                          <w:p>
                            <w:pPr>
                              <w:pStyle w:val="8"/>
                              <w:spacing w:before="2" w:line="253" w:lineRule="exact"/>
                              <w:ind w:left="31"/>
                              <w:rPr>
                                <w:sz w:val="21"/>
                              </w:rPr>
                            </w:pPr>
                            <w:r>
                              <w:rPr>
                                <w:sz w:val="21"/>
                              </w:rPr>
                              <w:t>制造业</w:t>
                            </w:r>
                          </w:p>
                        </w:tc>
                        <w:tc>
                          <w:tcPr>
                            <w:tcW w:w="6844" w:type="dxa"/>
                            <w:gridSpan w:val="4"/>
                            <w:tcBorders>
                              <w:top w:val="single" w:color="000000" w:sz="4" w:space="0"/>
                              <w:left w:val="single" w:color="000000" w:sz="4" w:space="0"/>
                              <w:bottom w:val="single" w:color="000000" w:sz="4" w:space="0"/>
                            </w:tcBorders>
                          </w:tcPr>
                          <w:p>
                            <w:pPr>
                              <w:pStyle w:val="8"/>
                              <w:spacing w:before="134"/>
                              <w:ind w:left="33"/>
                              <w:rPr>
                                <w:sz w:val="21"/>
                              </w:rPr>
                            </w:pPr>
                            <w:r>
                              <w:rPr>
                                <w:sz w:val="21"/>
                              </w:rPr>
                              <w:t>铅蓄电池制造项目。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521" w:type="dxa"/>
                            <w:tcBorders>
                              <w:top w:val="single" w:color="000000" w:sz="4" w:space="0"/>
                              <w:bottom w:val="single" w:color="000000" w:sz="4" w:space="0"/>
                              <w:right w:val="single" w:color="000000" w:sz="4" w:space="0"/>
                            </w:tcBorders>
                          </w:tcPr>
                          <w:p>
                            <w:pPr>
                              <w:pStyle w:val="8"/>
                              <w:spacing w:before="10"/>
                              <w:rPr>
                                <w:sz w:val="14"/>
                              </w:rPr>
                            </w:pPr>
                          </w:p>
                          <w:p>
                            <w:pPr>
                              <w:pStyle w:val="8"/>
                              <w:ind w:left="16"/>
                              <w:jc w:val="center"/>
                              <w:rPr>
                                <w:sz w:val="21"/>
                              </w:rPr>
                            </w:pPr>
                            <w:r>
                              <w:rPr>
                                <w:w w:val="99"/>
                                <w:sz w:val="21"/>
                              </w:rPr>
                              <w:t>9</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55" w:line="242" w:lineRule="auto"/>
                              <w:ind w:left="31" w:right="9"/>
                              <w:rPr>
                                <w:sz w:val="21"/>
                              </w:rPr>
                            </w:pPr>
                            <w:r>
                              <w:rPr>
                                <w:spacing w:val="-13"/>
                                <w:sz w:val="21"/>
                              </w:rPr>
                              <w:t>电力、热力生产和</w:t>
                            </w:r>
                            <w:r>
                              <w:rPr>
                                <w:spacing w:val="-2"/>
                                <w:sz w:val="21"/>
                              </w:rPr>
                              <w:t>供应业</w:t>
                            </w:r>
                          </w:p>
                        </w:tc>
                        <w:tc>
                          <w:tcPr>
                            <w:tcW w:w="6844" w:type="dxa"/>
                            <w:gridSpan w:val="4"/>
                            <w:tcBorders>
                              <w:top w:val="single" w:color="000000" w:sz="4" w:space="0"/>
                              <w:left w:val="single" w:color="000000" w:sz="4" w:space="0"/>
                              <w:bottom w:val="single" w:color="000000" w:sz="4" w:space="0"/>
                            </w:tcBorders>
                          </w:tcPr>
                          <w:p>
                            <w:pPr>
                              <w:pStyle w:val="8"/>
                              <w:ind w:left="33" w:right="-15"/>
                              <w:rPr>
                                <w:sz w:val="21"/>
                              </w:rPr>
                            </w:pPr>
                            <w:r>
                              <w:rPr>
                                <w:spacing w:val="-4"/>
                                <w:w w:val="95"/>
                                <w:sz w:val="21"/>
                              </w:rPr>
                              <w:t>火力发电项目</w:t>
                            </w:r>
                            <w:r>
                              <w:rPr>
                                <w:spacing w:val="-3"/>
                                <w:w w:val="95"/>
                                <w:sz w:val="21"/>
                              </w:rPr>
                              <w:t>（</w:t>
                            </w:r>
                            <w:r>
                              <w:rPr>
                                <w:spacing w:val="-5"/>
                                <w:w w:val="95"/>
                                <w:sz w:val="21"/>
                              </w:rPr>
                              <w:t>不含燃气发电工程和背压机组项目</w:t>
                            </w:r>
                            <w:r>
                              <w:rPr>
                                <w:spacing w:val="-3"/>
                                <w:w w:val="95"/>
                                <w:sz w:val="21"/>
                              </w:rPr>
                              <w:t>）；</w:t>
                            </w:r>
                            <w:r>
                              <w:rPr>
                                <w:spacing w:val="-5"/>
                                <w:w w:val="95"/>
                                <w:sz w:val="21"/>
                              </w:rPr>
                              <w:t>生活垃圾发电项目；</w:t>
                            </w:r>
                          </w:p>
                          <w:p>
                            <w:pPr>
                              <w:pStyle w:val="8"/>
                              <w:spacing w:before="57"/>
                              <w:ind w:left="33"/>
                              <w:rPr>
                                <w:sz w:val="21"/>
                              </w:rPr>
                            </w:pPr>
                            <w:r>
                              <w:rPr>
                                <w:sz w:val="21"/>
                              </w:rPr>
                              <w:t>总装机容量 25 万千瓦及以上的水电站项目。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29" w:right="15"/>
                              <w:jc w:val="center"/>
                              <w:rPr>
                                <w:sz w:val="21"/>
                              </w:rPr>
                            </w:pPr>
                            <w:r>
                              <w:rPr>
                                <w:sz w:val="21"/>
                              </w:rPr>
                              <w:t>10</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pacing w:val="-12"/>
                                <w:sz w:val="21"/>
                              </w:rPr>
                              <w:t>水的生产和供应业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新建、扩建工业废水集中处理项目。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521" w:type="dxa"/>
                            <w:tcBorders>
                              <w:top w:val="single" w:color="000000" w:sz="4" w:space="0"/>
                              <w:bottom w:val="single" w:color="000000" w:sz="4" w:space="0"/>
                              <w:right w:val="single" w:color="000000" w:sz="4" w:space="0"/>
                            </w:tcBorders>
                          </w:tcPr>
                          <w:p>
                            <w:pPr>
                              <w:pStyle w:val="8"/>
                              <w:spacing w:before="11"/>
                              <w:rPr>
                                <w:sz w:val="14"/>
                              </w:rPr>
                            </w:pPr>
                          </w:p>
                          <w:p>
                            <w:pPr>
                              <w:pStyle w:val="8"/>
                              <w:ind w:left="29" w:right="15"/>
                              <w:jc w:val="center"/>
                              <w:rPr>
                                <w:sz w:val="21"/>
                              </w:rPr>
                            </w:pPr>
                            <w:r>
                              <w:rPr>
                                <w:sz w:val="21"/>
                              </w:rPr>
                              <w:t>11</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4"/>
                              </w:rPr>
                            </w:pPr>
                          </w:p>
                          <w:p>
                            <w:pPr>
                              <w:pStyle w:val="8"/>
                              <w:ind w:left="31"/>
                              <w:rPr>
                                <w:sz w:val="21"/>
                              </w:rPr>
                            </w:pPr>
                            <w:r>
                              <w:rPr>
                                <w:sz w:val="21"/>
                              </w:rPr>
                              <w:t>环境治理业</w:t>
                            </w:r>
                          </w:p>
                        </w:tc>
                        <w:tc>
                          <w:tcPr>
                            <w:tcW w:w="6844" w:type="dxa"/>
                            <w:gridSpan w:val="4"/>
                            <w:tcBorders>
                              <w:top w:val="single" w:color="000000" w:sz="4" w:space="0"/>
                              <w:left w:val="single" w:color="000000" w:sz="4" w:space="0"/>
                              <w:bottom w:val="single" w:color="000000" w:sz="4" w:space="0"/>
                            </w:tcBorders>
                          </w:tcPr>
                          <w:p>
                            <w:pPr>
                              <w:pStyle w:val="8"/>
                              <w:spacing w:before="1"/>
                              <w:ind w:left="33"/>
                              <w:rPr>
                                <w:sz w:val="21"/>
                              </w:rPr>
                            </w:pPr>
                            <w:r>
                              <w:rPr>
                                <w:spacing w:val="-17"/>
                                <w:sz w:val="21"/>
                              </w:rPr>
                              <w:t xml:space="preserve">年处置 </w:t>
                            </w:r>
                            <w:r>
                              <w:rPr>
                                <w:sz w:val="21"/>
                              </w:rPr>
                              <w:t>1</w:t>
                            </w:r>
                            <w:r>
                              <w:rPr>
                                <w:spacing w:val="-12"/>
                                <w:sz w:val="21"/>
                              </w:rPr>
                              <w:t xml:space="preserve"> 万吨及以上危险废物处置项目；年利用 </w:t>
                            </w:r>
                            <w:r>
                              <w:rPr>
                                <w:sz w:val="21"/>
                              </w:rPr>
                              <w:t>10</w:t>
                            </w:r>
                            <w:r>
                              <w:rPr>
                                <w:spacing w:val="-9"/>
                                <w:sz w:val="21"/>
                              </w:rPr>
                              <w:t xml:space="preserve"> 万吨及以上危险废物综</w:t>
                            </w:r>
                          </w:p>
                          <w:p>
                            <w:pPr>
                              <w:pStyle w:val="8"/>
                              <w:spacing w:before="57"/>
                              <w:ind w:left="33"/>
                              <w:rPr>
                                <w:sz w:val="21"/>
                              </w:rPr>
                            </w:pPr>
                            <w:r>
                              <w:rPr>
                                <w:sz w:val="21"/>
                              </w:rPr>
                              <w:t>合利用项目。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521" w:type="dxa"/>
                            <w:tcBorders>
                              <w:top w:val="single" w:color="000000" w:sz="4" w:space="0"/>
                              <w:bottom w:val="single" w:color="000000" w:sz="4" w:space="0"/>
                              <w:right w:val="single" w:color="000000" w:sz="4" w:space="0"/>
                            </w:tcBorders>
                          </w:tcPr>
                          <w:p>
                            <w:pPr>
                              <w:pStyle w:val="8"/>
                              <w:spacing w:before="105"/>
                              <w:ind w:left="29" w:right="15"/>
                              <w:jc w:val="center"/>
                              <w:rPr>
                                <w:sz w:val="21"/>
                              </w:rPr>
                            </w:pPr>
                            <w:r>
                              <w:rPr>
                                <w:sz w:val="21"/>
                              </w:rPr>
                              <w:t>12</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5"/>
                              <w:ind w:left="31"/>
                              <w:rPr>
                                <w:sz w:val="21"/>
                              </w:rPr>
                            </w:pPr>
                            <w:r>
                              <w:rPr>
                                <w:sz w:val="21"/>
                              </w:rPr>
                              <w:t>公共设施管理业</w:t>
                            </w:r>
                          </w:p>
                        </w:tc>
                        <w:tc>
                          <w:tcPr>
                            <w:tcW w:w="6844" w:type="dxa"/>
                            <w:gridSpan w:val="4"/>
                            <w:tcBorders>
                              <w:top w:val="single" w:color="000000" w:sz="4" w:space="0"/>
                              <w:left w:val="single" w:color="000000" w:sz="4" w:space="0"/>
                              <w:bottom w:val="single" w:color="000000" w:sz="4" w:space="0"/>
                            </w:tcBorders>
                          </w:tcPr>
                          <w:p>
                            <w:pPr>
                              <w:pStyle w:val="8"/>
                              <w:spacing w:before="105"/>
                              <w:ind w:left="33"/>
                              <w:rPr>
                                <w:sz w:val="21"/>
                              </w:rPr>
                            </w:pPr>
                            <w:r>
                              <w:rPr>
                                <w:sz w:val="21"/>
                              </w:rPr>
                              <w:t>生活垃圾填埋项目；生活垃圾焚烧项目（不含发电）。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5"/>
                              <w:ind w:left="29" w:right="15"/>
                              <w:jc w:val="center"/>
                              <w:rPr>
                                <w:sz w:val="21"/>
                              </w:rPr>
                            </w:pPr>
                            <w:r>
                              <w:rPr>
                                <w:sz w:val="21"/>
                              </w:rPr>
                              <w:t>13</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5"/>
                              <w:ind w:left="31"/>
                              <w:rPr>
                                <w:sz w:val="21"/>
                              </w:rPr>
                            </w:pPr>
                            <w:r>
                              <w:rPr>
                                <w:spacing w:val="-12"/>
                                <w:sz w:val="21"/>
                              </w:rPr>
                              <w:t>煤炭开采和洗选业</w:t>
                            </w:r>
                          </w:p>
                        </w:tc>
                        <w:tc>
                          <w:tcPr>
                            <w:tcW w:w="6844" w:type="dxa"/>
                            <w:gridSpan w:val="4"/>
                            <w:tcBorders>
                              <w:top w:val="single" w:color="000000" w:sz="4" w:space="0"/>
                              <w:left w:val="single" w:color="000000" w:sz="4" w:space="0"/>
                              <w:bottom w:val="single" w:color="000000" w:sz="4" w:space="0"/>
                            </w:tcBorders>
                          </w:tcPr>
                          <w:p>
                            <w:pPr>
                              <w:pStyle w:val="8"/>
                              <w:spacing w:before="105"/>
                              <w:ind w:left="33"/>
                              <w:rPr>
                                <w:sz w:val="21"/>
                              </w:rPr>
                            </w:pPr>
                            <w:r>
                              <w:rPr>
                                <w:sz w:val="21"/>
                              </w:rPr>
                              <w:t>年产 150 万吨及以上煤炭开采项目。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521" w:type="dxa"/>
                            <w:tcBorders>
                              <w:top w:val="single" w:color="000000" w:sz="4" w:space="0"/>
                              <w:bottom w:val="single" w:color="000000" w:sz="4" w:space="0"/>
                              <w:right w:val="single" w:color="000000" w:sz="4" w:space="0"/>
                            </w:tcBorders>
                          </w:tcPr>
                          <w:p>
                            <w:pPr>
                              <w:pStyle w:val="8"/>
                              <w:spacing w:before="9"/>
                              <w:rPr>
                                <w:sz w:val="14"/>
                              </w:rPr>
                            </w:pPr>
                          </w:p>
                          <w:p>
                            <w:pPr>
                              <w:pStyle w:val="8"/>
                              <w:spacing w:before="1"/>
                              <w:ind w:left="29" w:right="15"/>
                              <w:jc w:val="center"/>
                              <w:rPr>
                                <w:sz w:val="21"/>
                              </w:rPr>
                            </w:pPr>
                            <w:r>
                              <w:rPr>
                                <w:sz w:val="21"/>
                              </w:rPr>
                              <w:t>14</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55" w:line="242" w:lineRule="auto"/>
                              <w:ind w:left="31" w:right="9"/>
                              <w:rPr>
                                <w:sz w:val="21"/>
                              </w:rPr>
                            </w:pPr>
                            <w:r>
                              <w:rPr>
                                <w:sz w:val="21"/>
                              </w:rPr>
                              <w:t>石油和天然气开采业</w:t>
                            </w:r>
                          </w:p>
                        </w:tc>
                        <w:tc>
                          <w:tcPr>
                            <w:tcW w:w="6844" w:type="dxa"/>
                            <w:gridSpan w:val="4"/>
                            <w:tcBorders>
                              <w:top w:val="single" w:color="000000" w:sz="4" w:space="0"/>
                              <w:left w:val="single" w:color="000000" w:sz="4" w:space="0"/>
                              <w:bottom w:val="single" w:color="000000" w:sz="4" w:space="0"/>
                            </w:tcBorders>
                          </w:tcPr>
                          <w:p>
                            <w:pPr>
                              <w:pStyle w:val="8"/>
                              <w:spacing w:line="269" w:lineRule="exact"/>
                              <w:ind w:left="33"/>
                              <w:rPr>
                                <w:sz w:val="21"/>
                              </w:rPr>
                            </w:pPr>
                            <w:r>
                              <w:rPr>
                                <w:spacing w:val="-23"/>
                                <w:sz w:val="21"/>
                              </w:rPr>
                              <w:t xml:space="preserve">年产 </w:t>
                            </w:r>
                            <w:r>
                              <w:rPr>
                                <w:sz w:val="21"/>
                              </w:rPr>
                              <w:t>20</w:t>
                            </w:r>
                            <w:r>
                              <w:rPr>
                                <w:spacing w:val="-12"/>
                                <w:sz w:val="21"/>
                              </w:rPr>
                              <w:t xml:space="preserve"> 亿立方米及以上天然气新区块开发项目；年产 </w:t>
                            </w:r>
                            <w:r>
                              <w:rPr>
                                <w:sz w:val="21"/>
                              </w:rPr>
                              <w:t>100</w:t>
                            </w:r>
                            <w:r>
                              <w:rPr>
                                <w:spacing w:val="-10"/>
                                <w:sz w:val="21"/>
                              </w:rPr>
                              <w:t xml:space="preserve"> 万吨及以上石油</w:t>
                            </w:r>
                          </w:p>
                          <w:p>
                            <w:pPr>
                              <w:pStyle w:val="8"/>
                              <w:spacing w:before="57"/>
                              <w:ind w:left="33"/>
                              <w:rPr>
                                <w:sz w:val="21"/>
                              </w:rPr>
                            </w:pPr>
                            <w:r>
                              <w:rPr>
                                <w:sz w:val="21"/>
                              </w:rPr>
                              <w:t>开采新区块开发项目；新建海洋油气开发项目。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29" w:right="15"/>
                              <w:jc w:val="center"/>
                              <w:rPr>
                                <w:sz w:val="21"/>
                              </w:rPr>
                            </w:pPr>
                            <w:r>
                              <w:rPr>
                                <w:sz w:val="21"/>
                              </w:rPr>
                              <w:t>15</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pacing w:val="-12"/>
                                <w:sz w:val="21"/>
                              </w:rPr>
                              <w:t>黑色金属矿采选业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年产 500 万吨及以上的铁矿采选项目。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top w:val="single" w:color="000000" w:sz="4" w:space="0"/>
                              <w:bottom w:val="single" w:color="000000" w:sz="4" w:space="0"/>
                              <w:right w:val="single" w:color="000000" w:sz="4" w:space="0"/>
                            </w:tcBorders>
                          </w:tcPr>
                          <w:p>
                            <w:pPr>
                              <w:pStyle w:val="8"/>
                              <w:spacing w:before="104"/>
                              <w:ind w:left="29" w:right="15"/>
                              <w:jc w:val="center"/>
                              <w:rPr>
                                <w:sz w:val="21"/>
                              </w:rPr>
                            </w:pPr>
                            <w:r>
                              <w:rPr>
                                <w:sz w:val="21"/>
                              </w:rPr>
                              <w:t>16</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04"/>
                              <w:ind w:left="31"/>
                              <w:rPr>
                                <w:sz w:val="21"/>
                              </w:rPr>
                            </w:pPr>
                            <w:r>
                              <w:rPr>
                                <w:spacing w:val="-12"/>
                                <w:sz w:val="21"/>
                              </w:rPr>
                              <w:t>有色金属矿采选业</w:t>
                            </w:r>
                          </w:p>
                        </w:tc>
                        <w:tc>
                          <w:tcPr>
                            <w:tcW w:w="6844" w:type="dxa"/>
                            <w:gridSpan w:val="4"/>
                            <w:tcBorders>
                              <w:top w:val="single" w:color="000000" w:sz="4" w:space="0"/>
                              <w:left w:val="single" w:color="000000" w:sz="4" w:space="0"/>
                              <w:bottom w:val="single" w:color="000000" w:sz="4" w:space="0"/>
                            </w:tcBorders>
                          </w:tcPr>
                          <w:p>
                            <w:pPr>
                              <w:pStyle w:val="8"/>
                              <w:spacing w:before="104"/>
                              <w:ind w:left="33"/>
                              <w:rPr>
                                <w:sz w:val="21"/>
                              </w:rPr>
                            </w:pPr>
                            <w:r>
                              <w:rPr>
                                <w:sz w:val="21"/>
                              </w:rPr>
                              <w:t>有色金属矿采选项目。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521" w:type="dxa"/>
                            <w:tcBorders>
                              <w:top w:val="single" w:color="000000" w:sz="4" w:space="0"/>
                              <w:bottom w:val="single" w:color="000000" w:sz="4" w:space="0"/>
                              <w:right w:val="single" w:color="000000" w:sz="4" w:space="0"/>
                            </w:tcBorders>
                          </w:tcPr>
                          <w:p>
                            <w:pPr>
                              <w:pStyle w:val="8"/>
                              <w:spacing w:before="11"/>
                              <w:rPr>
                                <w:sz w:val="14"/>
                              </w:rPr>
                            </w:pPr>
                          </w:p>
                          <w:p>
                            <w:pPr>
                              <w:pStyle w:val="8"/>
                              <w:ind w:left="29" w:right="15"/>
                              <w:jc w:val="center"/>
                              <w:rPr>
                                <w:sz w:val="21"/>
                              </w:rPr>
                            </w:pPr>
                            <w:r>
                              <w:rPr>
                                <w:sz w:val="21"/>
                              </w:rPr>
                              <w:t>17</w:t>
                            </w:r>
                          </w:p>
                        </w:tc>
                        <w:tc>
                          <w:tcPr>
                            <w:tcW w:w="1654" w:type="dxa"/>
                            <w:tcBorders>
                              <w:top w:val="single" w:color="000000" w:sz="4" w:space="0"/>
                              <w:left w:val="single" w:color="000000" w:sz="4" w:space="0"/>
                              <w:bottom w:val="single" w:color="000000" w:sz="4" w:space="0"/>
                              <w:right w:val="single" w:color="000000" w:sz="4" w:space="0"/>
                            </w:tcBorders>
                          </w:tcPr>
                          <w:p>
                            <w:pPr>
                              <w:pStyle w:val="8"/>
                              <w:spacing w:before="11"/>
                              <w:rPr>
                                <w:sz w:val="14"/>
                              </w:rPr>
                            </w:pPr>
                          </w:p>
                          <w:p>
                            <w:pPr>
                              <w:pStyle w:val="8"/>
                              <w:ind w:left="31"/>
                              <w:rPr>
                                <w:sz w:val="21"/>
                              </w:rPr>
                            </w:pPr>
                            <w:r>
                              <w:rPr>
                                <w:sz w:val="21"/>
                              </w:rPr>
                              <w:t>水利</w:t>
                            </w:r>
                          </w:p>
                        </w:tc>
                        <w:tc>
                          <w:tcPr>
                            <w:tcW w:w="6844" w:type="dxa"/>
                            <w:gridSpan w:val="4"/>
                            <w:tcBorders>
                              <w:top w:val="single" w:color="000000" w:sz="4" w:space="0"/>
                              <w:left w:val="single" w:color="000000" w:sz="4" w:space="0"/>
                              <w:bottom w:val="single" w:color="000000" w:sz="4" w:space="0"/>
                            </w:tcBorders>
                          </w:tcPr>
                          <w:p>
                            <w:pPr>
                              <w:pStyle w:val="8"/>
                              <w:spacing w:before="1"/>
                              <w:ind w:left="33"/>
                              <w:rPr>
                                <w:sz w:val="21"/>
                              </w:rPr>
                            </w:pPr>
                            <w:r>
                              <w:rPr>
                                <w:spacing w:val="-6"/>
                                <w:sz w:val="21"/>
                              </w:rPr>
                              <w:t>在跨界、跨省</w:t>
                            </w:r>
                            <w:r>
                              <w:rPr>
                                <w:spacing w:val="-5"/>
                                <w:sz w:val="21"/>
                              </w:rPr>
                              <w:t>（</w:t>
                            </w:r>
                            <w:r>
                              <w:rPr>
                                <w:spacing w:val="-4"/>
                                <w:sz w:val="21"/>
                              </w:rPr>
                              <w:t>区、市</w:t>
                            </w:r>
                            <w:r>
                              <w:rPr>
                                <w:spacing w:val="-5"/>
                                <w:sz w:val="21"/>
                              </w:rPr>
                              <w:t>）</w:t>
                            </w:r>
                            <w:r>
                              <w:rPr>
                                <w:spacing w:val="-11"/>
                                <w:sz w:val="21"/>
                              </w:rPr>
                              <w:t xml:space="preserve">河流上建设的库容 </w:t>
                            </w:r>
                            <w:r>
                              <w:rPr>
                                <w:sz w:val="21"/>
                              </w:rPr>
                              <w:t>1000</w:t>
                            </w:r>
                            <w:r>
                              <w:rPr>
                                <w:spacing w:val="-11"/>
                                <w:sz w:val="21"/>
                              </w:rPr>
                              <w:t xml:space="preserve"> 万立方米及以上水库项目</w:t>
                            </w:r>
                          </w:p>
                          <w:p>
                            <w:pPr>
                              <w:pStyle w:val="8"/>
                              <w:spacing w:before="57"/>
                              <w:ind w:left="33"/>
                              <w:rPr>
                                <w:sz w:val="21"/>
                              </w:rPr>
                            </w:pPr>
                            <w:r>
                              <w:rPr>
                                <w:sz w:val="21"/>
                              </w:rPr>
                              <w:t>涉及跨界河流、跨省（区、市）的水资源配置调整项目。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1" w:hRule="atLeast"/>
                        </w:trPr>
                        <w:tc>
                          <w:tcPr>
                            <w:tcW w:w="521" w:type="dxa"/>
                            <w:tcBorders>
                              <w:top w:val="single" w:color="000000" w:sz="4" w:space="0"/>
                              <w:right w:val="single" w:color="000000" w:sz="4" w:space="0"/>
                            </w:tcBorders>
                          </w:tcPr>
                          <w:p>
                            <w:pPr>
                              <w:pStyle w:val="8"/>
                              <w:spacing w:before="10"/>
                              <w:rPr>
                                <w:sz w:val="14"/>
                              </w:rPr>
                            </w:pPr>
                          </w:p>
                          <w:p>
                            <w:pPr>
                              <w:pStyle w:val="8"/>
                              <w:ind w:left="29" w:right="15"/>
                              <w:jc w:val="center"/>
                              <w:rPr>
                                <w:sz w:val="21"/>
                              </w:rPr>
                            </w:pPr>
                            <w:r>
                              <w:rPr>
                                <w:sz w:val="21"/>
                              </w:rPr>
                              <w:t>18</w:t>
                            </w:r>
                          </w:p>
                        </w:tc>
                        <w:tc>
                          <w:tcPr>
                            <w:tcW w:w="1654" w:type="dxa"/>
                            <w:tcBorders>
                              <w:top w:val="single" w:color="000000" w:sz="4" w:space="0"/>
                              <w:left w:val="single" w:color="000000" w:sz="4" w:space="0"/>
                              <w:right w:val="single" w:color="000000" w:sz="4" w:space="0"/>
                            </w:tcBorders>
                          </w:tcPr>
                          <w:p>
                            <w:pPr>
                              <w:pStyle w:val="8"/>
                              <w:spacing w:before="10"/>
                              <w:rPr>
                                <w:sz w:val="14"/>
                              </w:rPr>
                            </w:pPr>
                          </w:p>
                          <w:p>
                            <w:pPr>
                              <w:pStyle w:val="8"/>
                              <w:ind w:left="31"/>
                              <w:rPr>
                                <w:sz w:val="21"/>
                              </w:rPr>
                            </w:pPr>
                            <w:r>
                              <w:rPr>
                                <w:sz w:val="21"/>
                              </w:rPr>
                              <w:t>海洋工程</w:t>
                            </w:r>
                          </w:p>
                        </w:tc>
                        <w:tc>
                          <w:tcPr>
                            <w:tcW w:w="6844" w:type="dxa"/>
                            <w:gridSpan w:val="4"/>
                            <w:tcBorders>
                              <w:top w:val="single" w:color="000000" w:sz="4" w:space="0"/>
                              <w:left w:val="single" w:color="000000" w:sz="4" w:space="0"/>
                            </w:tcBorders>
                          </w:tcPr>
                          <w:p>
                            <w:pPr>
                              <w:pStyle w:val="8"/>
                              <w:spacing w:line="269" w:lineRule="exact"/>
                              <w:ind w:left="33"/>
                              <w:rPr>
                                <w:sz w:val="21"/>
                              </w:rPr>
                            </w:pPr>
                            <w:r>
                              <w:rPr>
                                <w:sz w:val="21"/>
                              </w:rPr>
                              <w:t>50</w:t>
                            </w:r>
                            <w:r>
                              <w:rPr>
                                <w:spacing w:val="-13"/>
                                <w:sz w:val="21"/>
                              </w:rPr>
                              <w:t xml:space="preserve"> 公顷及以上的填海项目；</w:t>
                            </w:r>
                            <w:r>
                              <w:rPr>
                                <w:spacing w:val="-17"/>
                                <w:sz w:val="21"/>
                              </w:rPr>
                              <w:t>100</w:t>
                            </w:r>
                            <w:r>
                              <w:rPr>
                                <w:spacing w:val="-15"/>
                                <w:sz w:val="21"/>
                              </w:rPr>
                              <w:t xml:space="preserve"> 公顷及以上的围海项目；跨海桥梁工程项目</w:t>
                            </w:r>
                          </w:p>
                          <w:p>
                            <w:pPr>
                              <w:pStyle w:val="8"/>
                              <w:spacing w:before="57"/>
                              <w:ind w:left="33"/>
                              <w:rPr>
                                <w:sz w:val="21"/>
                              </w:rPr>
                            </w:pPr>
                            <w:r>
                              <w:rPr>
                                <w:sz w:val="21"/>
                              </w:rPr>
                              <w:t>长度 1.0 公里及以上的海底隧道项目。</w:t>
                            </w:r>
                          </w:p>
                        </w:tc>
                      </w:tr>
                    </w:tbl>
                    <w:p>
                      <w:pPr>
                        <w:pStyle w:val="3"/>
                      </w:pPr>
                    </w:p>
                  </w:txbxContent>
                </v:textbox>
              </v:shape>
            </w:pict>
          </mc:Fallback>
        </mc:AlternateContent>
      </w:r>
      <w:r>
        <w:rPr>
          <w:rFonts w:hint="eastAsia" w:ascii="宋体" w:eastAsia="宋体"/>
          <w:w w:val="99"/>
          <w:sz w:val="21"/>
        </w:rPr>
        <w:t>；</w:t>
      </w: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spacing w:before="9"/>
        <w:rPr>
          <w:rFonts w:ascii="宋体"/>
          <w:sz w:val="23"/>
        </w:rPr>
      </w:pPr>
    </w:p>
    <w:p>
      <w:pPr>
        <w:spacing w:before="0"/>
        <w:ind w:left="0" w:right="121" w:firstLine="0"/>
        <w:jc w:val="right"/>
        <w:rPr>
          <w:rFonts w:hint="eastAsia" w:ascii="宋体" w:eastAsia="宋体"/>
          <w:sz w:val="21"/>
        </w:rPr>
      </w:pPr>
      <w:r>
        <w:rPr>
          <w:rFonts w:hint="eastAsia" w:ascii="宋体" w:eastAsia="宋体"/>
          <w:w w:val="99"/>
          <w:sz w:val="21"/>
        </w:rPr>
        <w:t>；</w:t>
      </w:r>
    </w:p>
    <w:p>
      <w:pPr>
        <w:pStyle w:val="3"/>
        <w:rPr>
          <w:rFonts w:ascii="宋体"/>
          <w:sz w:val="20"/>
        </w:rPr>
      </w:pPr>
    </w:p>
    <w:p>
      <w:pPr>
        <w:spacing w:before="138"/>
        <w:ind w:left="0" w:right="121" w:firstLine="0"/>
        <w:jc w:val="right"/>
        <w:rPr>
          <w:rFonts w:hint="eastAsia" w:ascii="宋体" w:eastAsia="宋体"/>
          <w:sz w:val="21"/>
        </w:rPr>
      </w:pPr>
      <w:r>
        <w:rPr>
          <w:rFonts w:hint="eastAsia" w:ascii="宋体" w:eastAsia="宋体"/>
          <w:w w:val="99"/>
          <w:sz w:val="21"/>
        </w:rPr>
        <w:t>；</w:t>
      </w:r>
    </w:p>
    <w:p>
      <w:pPr>
        <w:pStyle w:val="3"/>
        <w:rPr>
          <w:rFonts w:ascii="宋体"/>
          <w:sz w:val="20"/>
        </w:rPr>
      </w:pPr>
    </w:p>
    <w:p>
      <w:pPr>
        <w:pStyle w:val="3"/>
        <w:rPr>
          <w:rFonts w:ascii="宋体"/>
          <w:sz w:val="20"/>
        </w:rPr>
      </w:pPr>
    </w:p>
    <w:p>
      <w:pPr>
        <w:pStyle w:val="3"/>
        <w:spacing w:before="8"/>
        <w:rPr>
          <w:rFonts w:ascii="宋体"/>
          <w:sz w:val="28"/>
        </w:rPr>
      </w:pPr>
    </w:p>
    <w:p>
      <w:pPr>
        <w:tabs>
          <w:tab w:val="left" w:pos="811"/>
        </w:tabs>
        <w:spacing w:before="0"/>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7</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spacing w:before="7"/>
        <w:rPr>
          <w:rFonts w:ascii="宋体"/>
          <w:sz w:val="21"/>
        </w:rPr>
      </w:pPr>
    </w:p>
    <w:p>
      <w:pPr>
        <w:spacing w:before="70"/>
        <w:ind w:left="0" w:right="121" w:firstLine="0"/>
        <w:jc w:val="right"/>
        <w:rPr>
          <w:rFonts w:hint="eastAsia" w:ascii="宋体" w:eastAsia="宋体"/>
          <w:sz w:val="21"/>
        </w:rPr>
      </w:pPr>
      <w:r>
        <mc:AlternateContent>
          <mc:Choice Requires="wps">
            <w:drawing>
              <wp:anchor distT="0" distB="0" distL="114300" distR="114300" simplePos="0" relativeHeight="251659264" behindDoc="0" locked="0" layoutInCell="1" allowOverlap="1">
                <wp:simplePos x="0" y="0"/>
                <wp:positionH relativeFrom="page">
                  <wp:posOffset>910590</wp:posOffset>
                </wp:positionH>
                <wp:positionV relativeFrom="paragraph">
                  <wp:posOffset>-653415</wp:posOffset>
                </wp:positionV>
                <wp:extent cx="5745480" cy="42125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45480" cy="421259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1"/>
                              <w:gridCol w:w="1654"/>
                              <w:gridCol w:w="68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bottom w:val="single" w:color="000000" w:sz="4" w:space="0"/>
                                    <w:right w:val="single" w:color="000000" w:sz="4" w:space="0"/>
                                  </w:tcBorders>
                                </w:tcPr>
                                <w:p>
                                  <w:pPr>
                                    <w:pStyle w:val="8"/>
                                    <w:spacing w:before="106"/>
                                    <w:ind w:left="30" w:right="15"/>
                                    <w:jc w:val="center"/>
                                    <w:rPr>
                                      <w:rFonts w:hint="eastAsia" w:ascii="黑体" w:eastAsia="黑体"/>
                                      <w:sz w:val="21"/>
                                    </w:rPr>
                                  </w:pPr>
                                  <w:r>
                                    <w:rPr>
                                      <w:rFonts w:hint="eastAsia" w:ascii="黑体" w:eastAsia="黑体"/>
                                      <w:sz w:val="21"/>
                                    </w:rPr>
                                    <w:t>序号</w:t>
                                  </w:r>
                                </w:p>
                              </w:tc>
                              <w:tc>
                                <w:tcPr>
                                  <w:tcW w:w="1654" w:type="dxa"/>
                                  <w:tcBorders>
                                    <w:left w:val="single" w:color="000000" w:sz="4" w:space="0"/>
                                    <w:bottom w:val="single" w:color="000000" w:sz="4" w:space="0"/>
                                    <w:right w:val="single" w:color="000000" w:sz="4" w:space="0"/>
                                  </w:tcBorders>
                                </w:tcPr>
                                <w:p>
                                  <w:pPr>
                                    <w:pStyle w:val="8"/>
                                    <w:spacing w:before="106"/>
                                    <w:ind w:left="420"/>
                                    <w:rPr>
                                      <w:rFonts w:hint="eastAsia" w:ascii="黑体" w:eastAsia="黑体"/>
                                      <w:sz w:val="21"/>
                                    </w:rPr>
                                  </w:pPr>
                                  <w:r>
                                    <w:rPr>
                                      <w:rFonts w:hint="eastAsia" w:ascii="黑体" w:eastAsia="黑体"/>
                                      <w:sz w:val="21"/>
                                    </w:rPr>
                                    <w:t>项目类别</w:t>
                                  </w:r>
                                </w:p>
                              </w:tc>
                              <w:tc>
                                <w:tcPr>
                                  <w:tcW w:w="6844" w:type="dxa"/>
                                  <w:tcBorders>
                                    <w:left w:val="single" w:color="000000" w:sz="4" w:space="0"/>
                                    <w:bottom w:val="single" w:color="000000" w:sz="4" w:space="0"/>
                                  </w:tcBorders>
                                </w:tcPr>
                                <w:p>
                                  <w:pPr>
                                    <w:pStyle w:val="8"/>
                                    <w:spacing w:before="106"/>
                                    <w:ind w:left="2726" w:right="2698"/>
                                    <w:jc w:val="center"/>
                                    <w:rPr>
                                      <w:rFonts w:hint="eastAsia" w:ascii="黑体" w:eastAsia="黑体"/>
                                      <w:sz w:val="21"/>
                                    </w:rPr>
                                  </w:pPr>
                                  <w:r>
                                    <w:rPr>
                                      <w:rFonts w:hint="eastAsia" w:ascii="黑体" w:eastAsia="黑体"/>
                                      <w:sz w:val="21"/>
                                    </w:rPr>
                                    <w:t>重  点  项 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7" w:hRule="atLeast"/>
                              </w:trPr>
                              <w:tc>
                                <w:tcPr>
                                  <w:tcW w:w="521" w:type="dxa"/>
                                  <w:tcBorders>
                                    <w:top w:val="single" w:color="000000" w:sz="4" w:space="0"/>
                                    <w:bottom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51"/>
                                    <w:ind w:left="29" w:right="15"/>
                                    <w:jc w:val="center"/>
                                    <w:rPr>
                                      <w:sz w:val="21"/>
                                    </w:rPr>
                                  </w:pPr>
                                  <w:r>
                                    <w:rPr>
                                      <w:sz w:val="21"/>
                                    </w:rPr>
                                    <w:t>19</w:t>
                                  </w:r>
                                </w:p>
                              </w:tc>
                              <w:tc>
                                <w:tcPr>
                                  <w:tcW w:w="1654"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spacing w:before="2"/>
                                    <w:rPr>
                                      <w:sz w:val="21"/>
                                    </w:rPr>
                                  </w:pPr>
                                </w:p>
                                <w:p>
                                  <w:pPr>
                                    <w:pStyle w:val="8"/>
                                    <w:spacing w:line="244" w:lineRule="auto"/>
                                    <w:ind w:left="31" w:right="7"/>
                                    <w:rPr>
                                      <w:sz w:val="21"/>
                                    </w:rPr>
                                  </w:pPr>
                                  <w:r>
                                    <w:rPr>
                                      <w:spacing w:val="-13"/>
                                      <w:sz w:val="21"/>
                                    </w:rPr>
                                    <w:t>交通运输业、管道</w:t>
                                  </w:r>
                                  <w:r>
                                    <w:rPr>
                                      <w:spacing w:val="-4"/>
                                      <w:sz w:val="21"/>
                                    </w:rPr>
                                    <w:t>运输业和仓储业</w:t>
                                  </w:r>
                                </w:p>
                              </w:tc>
                              <w:tc>
                                <w:tcPr>
                                  <w:tcW w:w="6844" w:type="dxa"/>
                                  <w:tcBorders>
                                    <w:top w:val="single" w:color="000000" w:sz="4" w:space="0"/>
                                    <w:left w:val="single" w:color="000000" w:sz="4" w:space="0"/>
                                    <w:bottom w:val="single" w:color="000000" w:sz="4" w:space="0"/>
                                  </w:tcBorders>
                                </w:tcPr>
                                <w:p>
                                  <w:pPr>
                                    <w:pStyle w:val="8"/>
                                    <w:spacing w:before="5"/>
                                    <w:rPr>
                                      <w:sz w:val="20"/>
                                    </w:rPr>
                                  </w:pPr>
                                </w:p>
                                <w:p>
                                  <w:pPr>
                                    <w:pStyle w:val="8"/>
                                    <w:ind w:left="33"/>
                                    <w:jc w:val="both"/>
                                    <w:rPr>
                                      <w:sz w:val="21"/>
                                    </w:rPr>
                                  </w:pPr>
                                  <w:r>
                                    <w:rPr>
                                      <w:sz w:val="21"/>
                                    </w:rPr>
                                    <w:t>跨省（区、市）</w:t>
                                  </w:r>
                                  <w:r>
                                    <w:rPr>
                                      <w:spacing w:val="-39"/>
                                      <w:sz w:val="21"/>
                                    </w:rPr>
                                    <w:t xml:space="preserve">的 </w:t>
                                  </w:r>
                                  <w:r>
                                    <w:rPr>
                                      <w:sz w:val="21"/>
                                    </w:rPr>
                                    <w:t>30</w:t>
                                  </w:r>
                                  <w:r>
                                    <w:rPr>
                                      <w:spacing w:val="-9"/>
                                      <w:sz w:val="21"/>
                                    </w:rPr>
                                    <w:t xml:space="preserve"> 公里以上高速公路项目；新建、增建跨省</w:t>
                                  </w:r>
                                  <w:r>
                                    <w:rPr>
                                      <w:sz w:val="21"/>
                                    </w:rPr>
                                    <w:t>（区、市）</w:t>
                                  </w:r>
                                </w:p>
                                <w:p>
                                  <w:pPr>
                                    <w:pStyle w:val="8"/>
                                    <w:spacing w:before="58"/>
                                    <w:ind w:left="33"/>
                                    <w:jc w:val="both"/>
                                    <w:rPr>
                                      <w:sz w:val="21"/>
                                    </w:rPr>
                                  </w:pPr>
                                  <w:r>
                                    <w:rPr>
                                      <w:spacing w:val="-23"/>
                                      <w:sz w:val="21"/>
                                    </w:rPr>
                                    <w:t>的铁路</w:t>
                                  </w:r>
                                  <w:r>
                                    <w:rPr>
                                      <w:spacing w:val="-5"/>
                                      <w:sz w:val="21"/>
                                    </w:rPr>
                                    <w:t>（</w:t>
                                  </w:r>
                                  <w:r>
                                    <w:rPr>
                                      <w:spacing w:val="-23"/>
                                      <w:sz w:val="21"/>
                                    </w:rPr>
                                    <w:t xml:space="preserve">不含 </w:t>
                                  </w:r>
                                  <w:r>
                                    <w:rPr>
                                      <w:sz w:val="21"/>
                                    </w:rPr>
                                    <w:t>30</w:t>
                                  </w:r>
                                  <w:r>
                                    <w:rPr>
                                      <w:spacing w:val="-15"/>
                                      <w:sz w:val="21"/>
                                    </w:rPr>
                                    <w:t xml:space="preserve"> 公里及以下铁路联络线和 </w:t>
                                  </w:r>
                                  <w:r>
                                    <w:rPr>
                                      <w:sz w:val="21"/>
                                    </w:rPr>
                                    <w:t>30</w:t>
                                  </w:r>
                                  <w:r>
                                    <w:rPr>
                                      <w:spacing w:val="-11"/>
                                      <w:sz w:val="21"/>
                                    </w:rPr>
                                    <w:t xml:space="preserve"> 公里及以下铁路专用线</w:t>
                                  </w:r>
                                  <w:r>
                                    <w:rPr>
                                      <w:spacing w:val="-61"/>
                                      <w:sz w:val="21"/>
                                    </w:rPr>
                                    <w:t>）</w:t>
                                  </w:r>
                                  <w:r>
                                    <w:rPr>
                                      <w:spacing w:val="-2"/>
                                      <w:sz w:val="21"/>
                                    </w:rPr>
                                    <w:t>项目</w:t>
                                  </w:r>
                                </w:p>
                                <w:p>
                                  <w:pPr>
                                    <w:pStyle w:val="8"/>
                                    <w:spacing w:before="57" w:line="290" w:lineRule="auto"/>
                                    <w:ind w:left="33" w:right="-15"/>
                                    <w:jc w:val="both"/>
                                    <w:rPr>
                                      <w:sz w:val="21"/>
                                    </w:rPr>
                                  </w:pPr>
                                  <w:r>
                                    <w:rPr>
                                      <w:spacing w:val="-3"/>
                                      <w:sz w:val="21"/>
                                    </w:rPr>
                                    <w:t xml:space="preserve">新建运输机场项目；扩建军民合用机场项目；年吞吐能力 </w:t>
                                  </w:r>
                                  <w:r>
                                    <w:rPr>
                                      <w:sz w:val="21"/>
                                    </w:rPr>
                                    <w:t>1000</w:t>
                                  </w:r>
                                  <w:r>
                                    <w:rPr>
                                      <w:spacing w:val="-13"/>
                                      <w:sz w:val="21"/>
                                    </w:rPr>
                                    <w:t xml:space="preserve"> 万吨及以上</w:t>
                                  </w:r>
                                  <w:r>
                                    <w:rPr>
                                      <w:spacing w:val="-5"/>
                                      <w:w w:val="95"/>
                                      <w:sz w:val="21"/>
                                    </w:rPr>
                                    <w:t xml:space="preserve">煤炭、矿石、油气专用泊位项目；涉及危险品、化学品的集装箱专用码头项  目；高等级航道的千吨级及以上航电枢纽项目；城市轨道交通项目；跨境、  </w:t>
                                  </w:r>
                                  <w:r>
                                    <w:rPr>
                                      <w:spacing w:val="-6"/>
                                      <w:sz w:val="21"/>
                                    </w:rPr>
                                    <w:t>跨省</w:t>
                                  </w:r>
                                  <w:r>
                                    <w:rPr>
                                      <w:spacing w:val="-3"/>
                                      <w:sz w:val="21"/>
                                    </w:rPr>
                                    <w:t>（</w:t>
                                  </w:r>
                                  <w:r>
                                    <w:rPr>
                                      <w:spacing w:val="-4"/>
                                      <w:sz w:val="21"/>
                                    </w:rPr>
                                    <w:t>区、市</w:t>
                                  </w:r>
                                  <w:r>
                                    <w:rPr>
                                      <w:spacing w:val="-5"/>
                                      <w:sz w:val="21"/>
                                    </w:rPr>
                                    <w:t>）</w:t>
                                  </w:r>
                                  <w:r>
                                    <w:rPr>
                                      <w:spacing w:val="-36"/>
                                      <w:sz w:val="21"/>
                                    </w:rPr>
                                    <w:t xml:space="preserve">的 </w:t>
                                  </w:r>
                                  <w:r>
                                    <w:rPr>
                                      <w:sz w:val="21"/>
                                    </w:rPr>
                                    <w:t>200</w:t>
                                  </w:r>
                                  <w:r>
                                    <w:rPr>
                                      <w:spacing w:val="-12"/>
                                      <w:sz w:val="21"/>
                                    </w:rPr>
                                    <w:t xml:space="preserve"> 公里及以上输油、输气干线管网</w:t>
                                  </w:r>
                                  <w:r>
                                    <w:rPr>
                                      <w:spacing w:val="-3"/>
                                      <w:sz w:val="21"/>
                                    </w:rPr>
                                    <w:t>（</w:t>
                                  </w:r>
                                  <w:r>
                                    <w:rPr>
                                      <w:spacing w:val="-4"/>
                                      <w:sz w:val="21"/>
                                    </w:rPr>
                                    <w:t>不含油气田集输管</w:t>
                                  </w:r>
                                  <w:r>
                                    <w:rPr>
                                      <w:spacing w:val="-5"/>
                                      <w:w w:val="95"/>
                                      <w:sz w:val="21"/>
                                    </w:rPr>
                                    <w:t>网）项目；化学品输送管线；地下油库（</w:t>
                                  </w:r>
                                  <w:r>
                                    <w:rPr>
                                      <w:spacing w:val="-4"/>
                                      <w:w w:val="95"/>
                                      <w:sz w:val="21"/>
                                    </w:rPr>
                                    <w:t>不含加油站的油库</w:t>
                                  </w:r>
                                  <w:r>
                                    <w:rPr>
                                      <w:spacing w:val="-5"/>
                                      <w:w w:val="95"/>
                                      <w:sz w:val="21"/>
                                    </w:rPr>
                                    <w:t>）</w:t>
                                  </w:r>
                                  <w:r>
                                    <w:rPr>
                                      <w:spacing w:val="-4"/>
                                      <w:w w:val="95"/>
                                      <w:sz w:val="21"/>
                                    </w:rPr>
                                    <w:t xml:space="preserve">项目；地下气  </w:t>
                                  </w:r>
                                  <w:r>
                                    <w:rPr>
                                      <w:spacing w:val="-3"/>
                                      <w:sz w:val="21"/>
                                    </w:rPr>
                                    <w:t>库（</w:t>
                                  </w:r>
                                  <w:r>
                                    <w:rPr>
                                      <w:spacing w:val="45"/>
                                      <w:sz w:val="21"/>
                                    </w:rPr>
                                    <w:t>含</w:t>
                                  </w:r>
                                  <w:r>
                                    <w:rPr>
                                      <w:sz w:val="21"/>
                                    </w:rPr>
                                    <w:t>LNG</w:t>
                                  </w:r>
                                  <w:r>
                                    <w:rPr>
                                      <w:spacing w:val="-11"/>
                                      <w:sz w:val="21"/>
                                    </w:rPr>
                                    <w:t xml:space="preserve"> 库，不含加气站的气库</w:t>
                                  </w:r>
                                  <w:r>
                                    <w:rPr>
                                      <w:spacing w:val="-3"/>
                                      <w:sz w:val="21"/>
                                    </w:rPr>
                                    <w:t>）</w:t>
                                  </w:r>
                                  <w:r>
                                    <w:rPr>
                                      <w:spacing w:val="-2"/>
                                      <w:sz w:val="21"/>
                                    </w:rPr>
                                    <w:t>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4" w:hRule="atLeast"/>
                              </w:trPr>
                              <w:tc>
                                <w:tcPr>
                                  <w:tcW w:w="521" w:type="dxa"/>
                                  <w:tcBorders>
                                    <w:top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spacing w:before="8"/>
                                    <w:rPr>
                                      <w:sz w:val="24"/>
                                    </w:rPr>
                                  </w:pPr>
                                </w:p>
                                <w:p>
                                  <w:pPr>
                                    <w:pStyle w:val="8"/>
                                    <w:ind w:left="29" w:right="15"/>
                                    <w:jc w:val="center"/>
                                    <w:rPr>
                                      <w:sz w:val="21"/>
                                    </w:rPr>
                                  </w:pPr>
                                  <w:r>
                                    <w:rPr>
                                      <w:sz w:val="21"/>
                                    </w:rPr>
                                    <w:t>20</w:t>
                                  </w:r>
                                </w:p>
                              </w:tc>
                              <w:tc>
                                <w:tcPr>
                                  <w:tcW w:w="1654" w:type="dxa"/>
                                  <w:tcBorders>
                                    <w:top w:val="single" w:color="000000" w:sz="4" w:space="0"/>
                                    <w:left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spacing w:before="8"/>
                                    <w:rPr>
                                      <w:sz w:val="24"/>
                                    </w:rPr>
                                  </w:pPr>
                                </w:p>
                                <w:p>
                                  <w:pPr>
                                    <w:pStyle w:val="8"/>
                                    <w:ind w:left="31"/>
                                    <w:rPr>
                                      <w:sz w:val="21"/>
                                    </w:rPr>
                                  </w:pPr>
                                  <w:r>
                                    <w:rPr>
                                      <w:sz w:val="21"/>
                                    </w:rPr>
                                    <w:t>核与辐射</w:t>
                                  </w:r>
                                </w:p>
                              </w:tc>
                              <w:tc>
                                <w:tcPr>
                                  <w:tcW w:w="6844" w:type="dxa"/>
                                  <w:tcBorders>
                                    <w:top w:val="single" w:color="000000" w:sz="4" w:space="0"/>
                                    <w:left w:val="single" w:color="000000" w:sz="4" w:space="0"/>
                                  </w:tcBorders>
                                </w:tcPr>
                                <w:p>
                                  <w:pPr>
                                    <w:pStyle w:val="8"/>
                                    <w:spacing w:before="170" w:line="290" w:lineRule="auto"/>
                                    <w:ind w:left="33" w:right="-15"/>
                                    <w:jc w:val="both"/>
                                    <w:rPr>
                                      <w:sz w:val="21"/>
                                    </w:rPr>
                                  </w:pPr>
                                  <w:r>
                                    <w:rPr>
                                      <w:sz w:val="21"/>
                                    </w:rPr>
                                    <w:t>750</w:t>
                                  </w:r>
                                  <w:r>
                                    <w:rPr>
                                      <w:spacing w:val="-9"/>
                                      <w:sz w:val="21"/>
                                    </w:rPr>
                                    <w:t xml:space="preserve"> 千伏及以上交流和±</w:t>
                                  </w:r>
                                  <w:r>
                                    <w:rPr>
                                      <w:sz w:val="21"/>
                                    </w:rPr>
                                    <w:t>500</w:t>
                                  </w:r>
                                  <w:r>
                                    <w:rPr>
                                      <w:spacing w:val="-9"/>
                                      <w:sz w:val="21"/>
                                    </w:rPr>
                                    <w:t xml:space="preserve"> 千伏及以上直流输变电项目；新建、扩建核动</w:t>
                                  </w:r>
                                  <w:r>
                                    <w:rPr>
                                      <w:spacing w:val="-3"/>
                                      <w:w w:val="95"/>
                                      <w:sz w:val="21"/>
                                    </w:rPr>
                                    <w:t>力厂</w:t>
                                  </w:r>
                                  <w:r>
                                    <w:rPr>
                                      <w:spacing w:val="-5"/>
                                      <w:w w:val="95"/>
                                      <w:sz w:val="21"/>
                                    </w:rPr>
                                    <w:t>（核电厂、核热电厂、核供汽供热厂等</w:t>
                                  </w:r>
                                  <w:r>
                                    <w:rPr>
                                      <w:spacing w:val="-3"/>
                                      <w:w w:val="95"/>
                                      <w:sz w:val="21"/>
                                    </w:rPr>
                                    <w:t>）</w:t>
                                  </w:r>
                                  <w:r>
                                    <w:rPr>
                                      <w:spacing w:val="-4"/>
                                      <w:w w:val="95"/>
                                      <w:sz w:val="21"/>
                                    </w:rPr>
                                    <w:t>、反应堆</w:t>
                                  </w:r>
                                  <w:r>
                                    <w:rPr>
                                      <w:spacing w:val="-3"/>
                                      <w:w w:val="95"/>
                                      <w:sz w:val="21"/>
                                    </w:rPr>
                                    <w:t>（</w:t>
                                  </w:r>
                                  <w:r>
                                    <w:rPr>
                                      <w:spacing w:val="-5"/>
                                      <w:w w:val="95"/>
                                      <w:sz w:val="21"/>
                                    </w:rPr>
                                    <w:t>研究堆、实验堆、  临界装置等）、核燃料生产</w:t>
                                  </w:r>
                                  <w:r>
                                    <w:rPr>
                                      <w:w w:val="95"/>
                                      <w:sz w:val="21"/>
                                    </w:rPr>
                                    <w:t xml:space="preserve">/加工/贮存/后处理、放射性废物贮存/处理/处  </w:t>
                                  </w:r>
                                  <w:r>
                                    <w:rPr>
                                      <w:spacing w:val="-5"/>
                                      <w:w w:val="95"/>
                                      <w:sz w:val="21"/>
                                    </w:rPr>
                                    <w:t xml:space="preserve">置（独立的放射性废物贮存设施除外）项目；新建、扩建铀矿开采、冶炼项  </w:t>
                                  </w:r>
                                  <w:r>
                                    <w:rPr>
                                      <w:spacing w:val="-5"/>
                                      <w:sz w:val="21"/>
                                    </w:rPr>
                                    <w:t>目以及项目退役；生产放射性同位素（</w:t>
                                  </w:r>
                                  <w:r>
                                    <w:rPr>
                                      <w:spacing w:val="22"/>
                                      <w:sz w:val="21"/>
                                    </w:rPr>
                                    <w:t>制备</w:t>
                                  </w:r>
                                  <w:r>
                                    <w:rPr>
                                      <w:sz w:val="21"/>
                                    </w:rPr>
                                    <w:t>PET</w:t>
                                  </w:r>
                                  <w:r>
                                    <w:rPr>
                                      <w:spacing w:val="-13"/>
                                      <w:sz w:val="21"/>
                                    </w:rPr>
                                    <w:t xml:space="preserve"> 用放射性药物的除外</w:t>
                                  </w:r>
                                  <w:r>
                                    <w:rPr>
                                      <w:spacing w:val="-5"/>
                                      <w:sz w:val="21"/>
                                    </w:rPr>
                                    <w:t>）</w:t>
                                  </w:r>
                                  <w:r>
                                    <w:rPr>
                                      <w:spacing w:val="-3"/>
                                      <w:sz w:val="21"/>
                                    </w:rPr>
                                    <w:t>、使</w:t>
                                  </w:r>
                                  <w:r>
                                    <w:rPr>
                                      <w:spacing w:val="-5"/>
                                      <w:w w:val="95"/>
                                      <w:sz w:val="21"/>
                                    </w:rPr>
                                    <w:t>用Ⅰ类放射源</w:t>
                                  </w:r>
                                  <w:r>
                                    <w:rPr>
                                      <w:spacing w:val="-3"/>
                                      <w:w w:val="95"/>
                                      <w:sz w:val="21"/>
                                    </w:rPr>
                                    <w:t>（</w:t>
                                  </w:r>
                                  <w:r>
                                    <w:rPr>
                                      <w:spacing w:val="-4"/>
                                      <w:w w:val="95"/>
                                      <w:sz w:val="21"/>
                                    </w:rPr>
                                    <w:t>医疗使用的除外</w:t>
                                  </w:r>
                                  <w:r>
                                    <w:rPr>
                                      <w:spacing w:val="-5"/>
                                      <w:w w:val="95"/>
                                      <w:sz w:val="21"/>
                                    </w:rPr>
                                    <w:t>）的核技术利用项目；销售</w:t>
                                  </w:r>
                                  <w:r>
                                    <w:rPr>
                                      <w:spacing w:val="-3"/>
                                      <w:w w:val="95"/>
                                      <w:sz w:val="21"/>
                                    </w:rPr>
                                    <w:t>（</w:t>
                                  </w:r>
                                  <w:r>
                                    <w:rPr>
                                      <w:spacing w:val="-4"/>
                                      <w:w w:val="95"/>
                                      <w:sz w:val="21"/>
                                    </w:rPr>
                                    <w:t>含建造</w:t>
                                  </w:r>
                                  <w:r>
                                    <w:rPr>
                                      <w:spacing w:val="-5"/>
                                      <w:w w:val="95"/>
                                      <w:sz w:val="21"/>
                                    </w:rPr>
                                    <w:t>）</w:t>
                                  </w:r>
                                  <w:r>
                                    <w:rPr>
                                      <w:spacing w:val="-3"/>
                                      <w:w w:val="95"/>
                                      <w:sz w:val="21"/>
                                    </w:rPr>
                                    <w:t xml:space="preserve">、使  </w:t>
                                  </w:r>
                                  <w:r>
                                    <w:rPr>
                                      <w:spacing w:val="-6"/>
                                      <w:w w:val="95"/>
                                      <w:sz w:val="21"/>
                                    </w:rPr>
                                    <w:t xml:space="preserve">用Ⅰ类射线装置的核技术利用项目；甲级非密封放射性物质工作场所的核技  </w:t>
                                  </w:r>
                                  <w:r>
                                    <w:rPr>
                                      <w:spacing w:val="-4"/>
                                      <w:sz w:val="21"/>
                                    </w:rPr>
                                    <w:t>术利用项目。</w:t>
                                  </w:r>
                                </w:p>
                              </w:tc>
                            </w:tr>
                          </w:tbl>
                          <w:p>
                            <w:pPr>
                              <w:pStyle w:val="3"/>
                            </w:pPr>
                          </w:p>
                        </w:txbxContent>
                      </wps:txbx>
                      <wps:bodyPr lIns="0" tIns="0" rIns="0" bIns="0" upright="1"/>
                    </wps:wsp>
                  </a:graphicData>
                </a:graphic>
              </wp:anchor>
            </w:drawing>
          </mc:Choice>
          <mc:Fallback>
            <w:pict>
              <v:shape id="文本框 3" o:spid="_x0000_s1026" o:spt="202" type="#_x0000_t202" style="position:absolute;left:0pt;margin-left:71.7pt;margin-top:-51.45pt;height:331.7pt;width:452.4pt;mso-position-horizontal-relative:page;z-index:251659264;mso-width-relative:page;mso-height-relative:page;" filled="f" stroked="f" coordsize="21600,21600" o:gfxdata="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4MSeNsAAAANAQAADwAA&#10;AAAAAAABACAAAAAiAAAAZHJzL2Rvd25yZXYueG1sUEsBAhQAFAAAAAgAh07iQEM04PmhAQAAJQMA&#10;AA4AAAAAAAAAAQAgAAAAKgEAAGRycy9lMm9Eb2MueG1sUEsFBgAAAAAGAAYAWQEAAD0FA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1"/>
                        <w:gridCol w:w="1654"/>
                        <w:gridCol w:w="68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521" w:type="dxa"/>
                            <w:tcBorders>
                              <w:bottom w:val="single" w:color="000000" w:sz="4" w:space="0"/>
                              <w:right w:val="single" w:color="000000" w:sz="4" w:space="0"/>
                            </w:tcBorders>
                          </w:tcPr>
                          <w:p>
                            <w:pPr>
                              <w:pStyle w:val="8"/>
                              <w:spacing w:before="106"/>
                              <w:ind w:left="30" w:right="15"/>
                              <w:jc w:val="center"/>
                              <w:rPr>
                                <w:rFonts w:hint="eastAsia" w:ascii="黑体" w:eastAsia="黑体"/>
                                <w:sz w:val="21"/>
                              </w:rPr>
                            </w:pPr>
                            <w:r>
                              <w:rPr>
                                <w:rFonts w:hint="eastAsia" w:ascii="黑体" w:eastAsia="黑体"/>
                                <w:sz w:val="21"/>
                              </w:rPr>
                              <w:t>序号</w:t>
                            </w:r>
                          </w:p>
                        </w:tc>
                        <w:tc>
                          <w:tcPr>
                            <w:tcW w:w="1654" w:type="dxa"/>
                            <w:tcBorders>
                              <w:left w:val="single" w:color="000000" w:sz="4" w:space="0"/>
                              <w:bottom w:val="single" w:color="000000" w:sz="4" w:space="0"/>
                              <w:right w:val="single" w:color="000000" w:sz="4" w:space="0"/>
                            </w:tcBorders>
                          </w:tcPr>
                          <w:p>
                            <w:pPr>
                              <w:pStyle w:val="8"/>
                              <w:spacing w:before="106"/>
                              <w:ind w:left="420"/>
                              <w:rPr>
                                <w:rFonts w:hint="eastAsia" w:ascii="黑体" w:eastAsia="黑体"/>
                                <w:sz w:val="21"/>
                              </w:rPr>
                            </w:pPr>
                            <w:r>
                              <w:rPr>
                                <w:rFonts w:hint="eastAsia" w:ascii="黑体" w:eastAsia="黑体"/>
                                <w:sz w:val="21"/>
                              </w:rPr>
                              <w:t>项目类别</w:t>
                            </w:r>
                          </w:p>
                        </w:tc>
                        <w:tc>
                          <w:tcPr>
                            <w:tcW w:w="6844" w:type="dxa"/>
                            <w:tcBorders>
                              <w:left w:val="single" w:color="000000" w:sz="4" w:space="0"/>
                              <w:bottom w:val="single" w:color="000000" w:sz="4" w:space="0"/>
                            </w:tcBorders>
                          </w:tcPr>
                          <w:p>
                            <w:pPr>
                              <w:pStyle w:val="8"/>
                              <w:spacing w:before="106"/>
                              <w:ind w:left="2726" w:right="2698"/>
                              <w:jc w:val="center"/>
                              <w:rPr>
                                <w:rFonts w:hint="eastAsia" w:ascii="黑体" w:eastAsia="黑体"/>
                                <w:sz w:val="21"/>
                              </w:rPr>
                            </w:pPr>
                            <w:r>
                              <w:rPr>
                                <w:rFonts w:hint="eastAsia" w:ascii="黑体" w:eastAsia="黑体"/>
                                <w:sz w:val="21"/>
                              </w:rPr>
                              <w:t>重  点  项 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7" w:hRule="atLeast"/>
                        </w:trPr>
                        <w:tc>
                          <w:tcPr>
                            <w:tcW w:w="521" w:type="dxa"/>
                            <w:tcBorders>
                              <w:top w:val="single" w:color="000000" w:sz="4" w:space="0"/>
                              <w:bottom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51"/>
                              <w:ind w:left="29" w:right="15"/>
                              <w:jc w:val="center"/>
                              <w:rPr>
                                <w:sz w:val="21"/>
                              </w:rPr>
                            </w:pPr>
                            <w:r>
                              <w:rPr>
                                <w:sz w:val="21"/>
                              </w:rPr>
                              <w:t>19</w:t>
                            </w:r>
                          </w:p>
                        </w:tc>
                        <w:tc>
                          <w:tcPr>
                            <w:tcW w:w="1654"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spacing w:before="2"/>
                              <w:rPr>
                                <w:sz w:val="21"/>
                              </w:rPr>
                            </w:pPr>
                          </w:p>
                          <w:p>
                            <w:pPr>
                              <w:pStyle w:val="8"/>
                              <w:spacing w:line="244" w:lineRule="auto"/>
                              <w:ind w:left="31" w:right="7"/>
                              <w:rPr>
                                <w:sz w:val="21"/>
                              </w:rPr>
                            </w:pPr>
                            <w:r>
                              <w:rPr>
                                <w:spacing w:val="-13"/>
                                <w:sz w:val="21"/>
                              </w:rPr>
                              <w:t>交通运输业、管道</w:t>
                            </w:r>
                            <w:r>
                              <w:rPr>
                                <w:spacing w:val="-4"/>
                                <w:sz w:val="21"/>
                              </w:rPr>
                              <w:t>运输业和仓储业</w:t>
                            </w:r>
                          </w:p>
                        </w:tc>
                        <w:tc>
                          <w:tcPr>
                            <w:tcW w:w="6844" w:type="dxa"/>
                            <w:tcBorders>
                              <w:top w:val="single" w:color="000000" w:sz="4" w:space="0"/>
                              <w:left w:val="single" w:color="000000" w:sz="4" w:space="0"/>
                              <w:bottom w:val="single" w:color="000000" w:sz="4" w:space="0"/>
                            </w:tcBorders>
                          </w:tcPr>
                          <w:p>
                            <w:pPr>
                              <w:pStyle w:val="8"/>
                              <w:spacing w:before="5"/>
                              <w:rPr>
                                <w:sz w:val="20"/>
                              </w:rPr>
                            </w:pPr>
                          </w:p>
                          <w:p>
                            <w:pPr>
                              <w:pStyle w:val="8"/>
                              <w:ind w:left="33"/>
                              <w:jc w:val="both"/>
                              <w:rPr>
                                <w:sz w:val="21"/>
                              </w:rPr>
                            </w:pPr>
                            <w:r>
                              <w:rPr>
                                <w:sz w:val="21"/>
                              </w:rPr>
                              <w:t>跨省（区、市）</w:t>
                            </w:r>
                            <w:r>
                              <w:rPr>
                                <w:spacing w:val="-39"/>
                                <w:sz w:val="21"/>
                              </w:rPr>
                              <w:t xml:space="preserve">的 </w:t>
                            </w:r>
                            <w:r>
                              <w:rPr>
                                <w:sz w:val="21"/>
                              </w:rPr>
                              <w:t>30</w:t>
                            </w:r>
                            <w:r>
                              <w:rPr>
                                <w:spacing w:val="-9"/>
                                <w:sz w:val="21"/>
                              </w:rPr>
                              <w:t xml:space="preserve"> 公里以上高速公路项目；新建、增建跨省</w:t>
                            </w:r>
                            <w:r>
                              <w:rPr>
                                <w:sz w:val="21"/>
                              </w:rPr>
                              <w:t>（区、市）</w:t>
                            </w:r>
                          </w:p>
                          <w:p>
                            <w:pPr>
                              <w:pStyle w:val="8"/>
                              <w:spacing w:before="58"/>
                              <w:ind w:left="33"/>
                              <w:jc w:val="both"/>
                              <w:rPr>
                                <w:sz w:val="21"/>
                              </w:rPr>
                            </w:pPr>
                            <w:r>
                              <w:rPr>
                                <w:spacing w:val="-23"/>
                                <w:sz w:val="21"/>
                              </w:rPr>
                              <w:t>的铁路</w:t>
                            </w:r>
                            <w:r>
                              <w:rPr>
                                <w:spacing w:val="-5"/>
                                <w:sz w:val="21"/>
                              </w:rPr>
                              <w:t>（</w:t>
                            </w:r>
                            <w:r>
                              <w:rPr>
                                <w:spacing w:val="-23"/>
                                <w:sz w:val="21"/>
                              </w:rPr>
                              <w:t xml:space="preserve">不含 </w:t>
                            </w:r>
                            <w:r>
                              <w:rPr>
                                <w:sz w:val="21"/>
                              </w:rPr>
                              <w:t>30</w:t>
                            </w:r>
                            <w:r>
                              <w:rPr>
                                <w:spacing w:val="-15"/>
                                <w:sz w:val="21"/>
                              </w:rPr>
                              <w:t xml:space="preserve"> 公里及以下铁路联络线和 </w:t>
                            </w:r>
                            <w:r>
                              <w:rPr>
                                <w:sz w:val="21"/>
                              </w:rPr>
                              <w:t>30</w:t>
                            </w:r>
                            <w:r>
                              <w:rPr>
                                <w:spacing w:val="-11"/>
                                <w:sz w:val="21"/>
                              </w:rPr>
                              <w:t xml:space="preserve"> 公里及以下铁路专用线</w:t>
                            </w:r>
                            <w:r>
                              <w:rPr>
                                <w:spacing w:val="-61"/>
                                <w:sz w:val="21"/>
                              </w:rPr>
                              <w:t>）</w:t>
                            </w:r>
                            <w:r>
                              <w:rPr>
                                <w:spacing w:val="-2"/>
                                <w:sz w:val="21"/>
                              </w:rPr>
                              <w:t>项目</w:t>
                            </w:r>
                          </w:p>
                          <w:p>
                            <w:pPr>
                              <w:pStyle w:val="8"/>
                              <w:spacing w:before="57" w:line="290" w:lineRule="auto"/>
                              <w:ind w:left="33" w:right="-15"/>
                              <w:jc w:val="both"/>
                              <w:rPr>
                                <w:sz w:val="21"/>
                              </w:rPr>
                            </w:pPr>
                            <w:r>
                              <w:rPr>
                                <w:spacing w:val="-3"/>
                                <w:sz w:val="21"/>
                              </w:rPr>
                              <w:t xml:space="preserve">新建运输机场项目；扩建军民合用机场项目；年吞吐能力 </w:t>
                            </w:r>
                            <w:r>
                              <w:rPr>
                                <w:sz w:val="21"/>
                              </w:rPr>
                              <w:t>1000</w:t>
                            </w:r>
                            <w:r>
                              <w:rPr>
                                <w:spacing w:val="-13"/>
                                <w:sz w:val="21"/>
                              </w:rPr>
                              <w:t xml:space="preserve"> 万吨及以上</w:t>
                            </w:r>
                            <w:r>
                              <w:rPr>
                                <w:spacing w:val="-5"/>
                                <w:w w:val="95"/>
                                <w:sz w:val="21"/>
                              </w:rPr>
                              <w:t xml:space="preserve">煤炭、矿石、油气专用泊位项目；涉及危险品、化学品的集装箱专用码头项  目；高等级航道的千吨级及以上航电枢纽项目；城市轨道交通项目；跨境、  </w:t>
                            </w:r>
                            <w:r>
                              <w:rPr>
                                <w:spacing w:val="-6"/>
                                <w:sz w:val="21"/>
                              </w:rPr>
                              <w:t>跨省</w:t>
                            </w:r>
                            <w:r>
                              <w:rPr>
                                <w:spacing w:val="-3"/>
                                <w:sz w:val="21"/>
                              </w:rPr>
                              <w:t>（</w:t>
                            </w:r>
                            <w:r>
                              <w:rPr>
                                <w:spacing w:val="-4"/>
                                <w:sz w:val="21"/>
                              </w:rPr>
                              <w:t>区、市</w:t>
                            </w:r>
                            <w:r>
                              <w:rPr>
                                <w:spacing w:val="-5"/>
                                <w:sz w:val="21"/>
                              </w:rPr>
                              <w:t>）</w:t>
                            </w:r>
                            <w:r>
                              <w:rPr>
                                <w:spacing w:val="-36"/>
                                <w:sz w:val="21"/>
                              </w:rPr>
                              <w:t xml:space="preserve">的 </w:t>
                            </w:r>
                            <w:r>
                              <w:rPr>
                                <w:sz w:val="21"/>
                              </w:rPr>
                              <w:t>200</w:t>
                            </w:r>
                            <w:r>
                              <w:rPr>
                                <w:spacing w:val="-12"/>
                                <w:sz w:val="21"/>
                              </w:rPr>
                              <w:t xml:space="preserve"> 公里及以上输油、输气干线管网</w:t>
                            </w:r>
                            <w:r>
                              <w:rPr>
                                <w:spacing w:val="-3"/>
                                <w:sz w:val="21"/>
                              </w:rPr>
                              <w:t>（</w:t>
                            </w:r>
                            <w:r>
                              <w:rPr>
                                <w:spacing w:val="-4"/>
                                <w:sz w:val="21"/>
                              </w:rPr>
                              <w:t>不含油气田集输管</w:t>
                            </w:r>
                            <w:r>
                              <w:rPr>
                                <w:spacing w:val="-5"/>
                                <w:w w:val="95"/>
                                <w:sz w:val="21"/>
                              </w:rPr>
                              <w:t>网）项目；化学品输送管线；地下油库（</w:t>
                            </w:r>
                            <w:r>
                              <w:rPr>
                                <w:spacing w:val="-4"/>
                                <w:w w:val="95"/>
                                <w:sz w:val="21"/>
                              </w:rPr>
                              <w:t>不含加油站的油库</w:t>
                            </w:r>
                            <w:r>
                              <w:rPr>
                                <w:spacing w:val="-5"/>
                                <w:w w:val="95"/>
                                <w:sz w:val="21"/>
                              </w:rPr>
                              <w:t>）</w:t>
                            </w:r>
                            <w:r>
                              <w:rPr>
                                <w:spacing w:val="-4"/>
                                <w:w w:val="95"/>
                                <w:sz w:val="21"/>
                              </w:rPr>
                              <w:t xml:space="preserve">项目；地下气  </w:t>
                            </w:r>
                            <w:r>
                              <w:rPr>
                                <w:spacing w:val="-3"/>
                                <w:sz w:val="21"/>
                              </w:rPr>
                              <w:t>库（</w:t>
                            </w:r>
                            <w:r>
                              <w:rPr>
                                <w:spacing w:val="45"/>
                                <w:sz w:val="21"/>
                              </w:rPr>
                              <w:t>含</w:t>
                            </w:r>
                            <w:r>
                              <w:rPr>
                                <w:sz w:val="21"/>
                              </w:rPr>
                              <w:t>LNG</w:t>
                            </w:r>
                            <w:r>
                              <w:rPr>
                                <w:spacing w:val="-11"/>
                                <w:sz w:val="21"/>
                              </w:rPr>
                              <w:t xml:space="preserve"> 库，不含加气站的气库</w:t>
                            </w:r>
                            <w:r>
                              <w:rPr>
                                <w:spacing w:val="-3"/>
                                <w:sz w:val="21"/>
                              </w:rPr>
                              <w:t>）</w:t>
                            </w:r>
                            <w:r>
                              <w:rPr>
                                <w:spacing w:val="-2"/>
                                <w:sz w:val="21"/>
                              </w:rPr>
                              <w:t>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4" w:hRule="atLeast"/>
                        </w:trPr>
                        <w:tc>
                          <w:tcPr>
                            <w:tcW w:w="521" w:type="dxa"/>
                            <w:tcBorders>
                              <w:top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spacing w:before="8"/>
                              <w:rPr>
                                <w:sz w:val="24"/>
                              </w:rPr>
                            </w:pPr>
                          </w:p>
                          <w:p>
                            <w:pPr>
                              <w:pStyle w:val="8"/>
                              <w:ind w:left="29" w:right="15"/>
                              <w:jc w:val="center"/>
                              <w:rPr>
                                <w:sz w:val="21"/>
                              </w:rPr>
                            </w:pPr>
                            <w:r>
                              <w:rPr>
                                <w:sz w:val="21"/>
                              </w:rPr>
                              <w:t>20</w:t>
                            </w:r>
                          </w:p>
                        </w:tc>
                        <w:tc>
                          <w:tcPr>
                            <w:tcW w:w="1654" w:type="dxa"/>
                            <w:tcBorders>
                              <w:top w:val="single" w:color="000000" w:sz="4" w:space="0"/>
                              <w:left w:val="single" w:color="000000" w:sz="4" w:space="0"/>
                              <w:right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spacing w:before="8"/>
                              <w:rPr>
                                <w:sz w:val="24"/>
                              </w:rPr>
                            </w:pPr>
                          </w:p>
                          <w:p>
                            <w:pPr>
                              <w:pStyle w:val="8"/>
                              <w:ind w:left="31"/>
                              <w:rPr>
                                <w:sz w:val="21"/>
                              </w:rPr>
                            </w:pPr>
                            <w:r>
                              <w:rPr>
                                <w:sz w:val="21"/>
                              </w:rPr>
                              <w:t>核与辐射</w:t>
                            </w:r>
                          </w:p>
                        </w:tc>
                        <w:tc>
                          <w:tcPr>
                            <w:tcW w:w="6844" w:type="dxa"/>
                            <w:tcBorders>
                              <w:top w:val="single" w:color="000000" w:sz="4" w:space="0"/>
                              <w:left w:val="single" w:color="000000" w:sz="4" w:space="0"/>
                            </w:tcBorders>
                          </w:tcPr>
                          <w:p>
                            <w:pPr>
                              <w:pStyle w:val="8"/>
                              <w:spacing w:before="170" w:line="290" w:lineRule="auto"/>
                              <w:ind w:left="33" w:right="-15"/>
                              <w:jc w:val="both"/>
                              <w:rPr>
                                <w:sz w:val="21"/>
                              </w:rPr>
                            </w:pPr>
                            <w:r>
                              <w:rPr>
                                <w:sz w:val="21"/>
                              </w:rPr>
                              <w:t>750</w:t>
                            </w:r>
                            <w:r>
                              <w:rPr>
                                <w:spacing w:val="-9"/>
                                <w:sz w:val="21"/>
                              </w:rPr>
                              <w:t xml:space="preserve"> 千伏及以上交流和±</w:t>
                            </w:r>
                            <w:r>
                              <w:rPr>
                                <w:sz w:val="21"/>
                              </w:rPr>
                              <w:t>500</w:t>
                            </w:r>
                            <w:r>
                              <w:rPr>
                                <w:spacing w:val="-9"/>
                                <w:sz w:val="21"/>
                              </w:rPr>
                              <w:t xml:space="preserve"> 千伏及以上直流输变电项目；新建、扩建核动</w:t>
                            </w:r>
                            <w:r>
                              <w:rPr>
                                <w:spacing w:val="-3"/>
                                <w:w w:val="95"/>
                                <w:sz w:val="21"/>
                              </w:rPr>
                              <w:t>力厂</w:t>
                            </w:r>
                            <w:r>
                              <w:rPr>
                                <w:spacing w:val="-5"/>
                                <w:w w:val="95"/>
                                <w:sz w:val="21"/>
                              </w:rPr>
                              <w:t>（核电厂、核热电厂、核供汽供热厂等</w:t>
                            </w:r>
                            <w:r>
                              <w:rPr>
                                <w:spacing w:val="-3"/>
                                <w:w w:val="95"/>
                                <w:sz w:val="21"/>
                              </w:rPr>
                              <w:t>）</w:t>
                            </w:r>
                            <w:r>
                              <w:rPr>
                                <w:spacing w:val="-4"/>
                                <w:w w:val="95"/>
                                <w:sz w:val="21"/>
                              </w:rPr>
                              <w:t>、反应堆</w:t>
                            </w:r>
                            <w:r>
                              <w:rPr>
                                <w:spacing w:val="-3"/>
                                <w:w w:val="95"/>
                                <w:sz w:val="21"/>
                              </w:rPr>
                              <w:t>（</w:t>
                            </w:r>
                            <w:r>
                              <w:rPr>
                                <w:spacing w:val="-5"/>
                                <w:w w:val="95"/>
                                <w:sz w:val="21"/>
                              </w:rPr>
                              <w:t>研究堆、实验堆、  临界装置等）、核燃料生产</w:t>
                            </w:r>
                            <w:r>
                              <w:rPr>
                                <w:w w:val="95"/>
                                <w:sz w:val="21"/>
                              </w:rPr>
                              <w:t xml:space="preserve">/加工/贮存/后处理、放射性废物贮存/处理/处  </w:t>
                            </w:r>
                            <w:r>
                              <w:rPr>
                                <w:spacing w:val="-5"/>
                                <w:w w:val="95"/>
                                <w:sz w:val="21"/>
                              </w:rPr>
                              <w:t xml:space="preserve">置（独立的放射性废物贮存设施除外）项目；新建、扩建铀矿开采、冶炼项  </w:t>
                            </w:r>
                            <w:r>
                              <w:rPr>
                                <w:spacing w:val="-5"/>
                                <w:sz w:val="21"/>
                              </w:rPr>
                              <w:t>目以及项目退役；生产放射性同位素（</w:t>
                            </w:r>
                            <w:r>
                              <w:rPr>
                                <w:spacing w:val="22"/>
                                <w:sz w:val="21"/>
                              </w:rPr>
                              <w:t>制备</w:t>
                            </w:r>
                            <w:r>
                              <w:rPr>
                                <w:sz w:val="21"/>
                              </w:rPr>
                              <w:t>PET</w:t>
                            </w:r>
                            <w:r>
                              <w:rPr>
                                <w:spacing w:val="-13"/>
                                <w:sz w:val="21"/>
                              </w:rPr>
                              <w:t xml:space="preserve"> 用放射性药物的除外</w:t>
                            </w:r>
                            <w:r>
                              <w:rPr>
                                <w:spacing w:val="-5"/>
                                <w:sz w:val="21"/>
                              </w:rPr>
                              <w:t>）</w:t>
                            </w:r>
                            <w:r>
                              <w:rPr>
                                <w:spacing w:val="-3"/>
                                <w:sz w:val="21"/>
                              </w:rPr>
                              <w:t>、使</w:t>
                            </w:r>
                            <w:r>
                              <w:rPr>
                                <w:spacing w:val="-5"/>
                                <w:w w:val="95"/>
                                <w:sz w:val="21"/>
                              </w:rPr>
                              <w:t>用Ⅰ类放射源</w:t>
                            </w:r>
                            <w:r>
                              <w:rPr>
                                <w:spacing w:val="-3"/>
                                <w:w w:val="95"/>
                                <w:sz w:val="21"/>
                              </w:rPr>
                              <w:t>（</w:t>
                            </w:r>
                            <w:r>
                              <w:rPr>
                                <w:spacing w:val="-4"/>
                                <w:w w:val="95"/>
                                <w:sz w:val="21"/>
                              </w:rPr>
                              <w:t>医疗使用的除外</w:t>
                            </w:r>
                            <w:r>
                              <w:rPr>
                                <w:spacing w:val="-5"/>
                                <w:w w:val="95"/>
                                <w:sz w:val="21"/>
                              </w:rPr>
                              <w:t>）的核技术利用项目；销售</w:t>
                            </w:r>
                            <w:r>
                              <w:rPr>
                                <w:spacing w:val="-3"/>
                                <w:w w:val="95"/>
                                <w:sz w:val="21"/>
                              </w:rPr>
                              <w:t>（</w:t>
                            </w:r>
                            <w:r>
                              <w:rPr>
                                <w:spacing w:val="-4"/>
                                <w:w w:val="95"/>
                                <w:sz w:val="21"/>
                              </w:rPr>
                              <w:t>含建造</w:t>
                            </w:r>
                            <w:r>
                              <w:rPr>
                                <w:spacing w:val="-5"/>
                                <w:w w:val="95"/>
                                <w:sz w:val="21"/>
                              </w:rPr>
                              <w:t>）</w:t>
                            </w:r>
                            <w:r>
                              <w:rPr>
                                <w:spacing w:val="-3"/>
                                <w:w w:val="95"/>
                                <w:sz w:val="21"/>
                              </w:rPr>
                              <w:t xml:space="preserve">、使  </w:t>
                            </w:r>
                            <w:r>
                              <w:rPr>
                                <w:spacing w:val="-6"/>
                                <w:w w:val="95"/>
                                <w:sz w:val="21"/>
                              </w:rPr>
                              <w:t xml:space="preserve">用Ⅰ类射线装置的核技术利用项目；甲级非密封放射性物质工作场所的核技  </w:t>
                            </w:r>
                            <w:r>
                              <w:rPr>
                                <w:spacing w:val="-4"/>
                                <w:sz w:val="21"/>
                              </w:rPr>
                              <w:t>术利用项目。</w:t>
                            </w:r>
                          </w:p>
                        </w:tc>
                      </w:tr>
                    </w:tbl>
                    <w:p>
                      <w:pPr>
                        <w:pStyle w:val="3"/>
                      </w:pPr>
                    </w:p>
                  </w:txbxContent>
                </v:textbox>
              </v:shape>
            </w:pict>
          </mc:Fallback>
        </mc:AlternateContent>
      </w:r>
      <w:r>
        <w:rPr>
          <w:rFonts w:hint="eastAsia" w:ascii="宋体" w:eastAsia="宋体"/>
          <w:w w:val="99"/>
          <w:sz w:val="21"/>
        </w:rPr>
        <w:t>；</w:t>
      </w: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pStyle w:val="3"/>
        <w:spacing w:before="11"/>
        <w:rPr>
          <w:rFonts w:ascii="宋体"/>
          <w:sz w:val="25"/>
        </w:rPr>
      </w:pPr>
    </w:p>
    <w:p>
      <w:pPr>
        <w:spacing w:before="1" w:line="290" w:lineRule="auto"/>
        <w:ind w:left="811" w:right="316" w:hanging="420"/>
        <w:jc w:val="left"/>
        <w:rPr>
          <w:rFonts w:hint="eastAsia" w:ascii="宋体" w:eastAsia="宋体"/>
          <w:sz w:val="21"/>
        </w:rPr>
      </w:pPr>
      <w:r>
        <w:rPr>
          <w:rFonts w:hint="eastAsia" w:ascii="宋体" w:eastAsia="宋体"/>
          <w:w w:val="95"/>
          <w:sz w:val="21"/>
        </w:rPr>
        <w:t xml:space="preserve">注：上述项目涉及规模的，均指新增规模；未涉及规模的，包括新建、扩建和技术改造项目，但   </w:t>
      </w:r>
      <w:r>
        <w:rPr>
          <w:rFonts w:hint="eastAsia" w:ascii="宋体" w:eastAsia="宋体"/>
          <w:sz w:val="21"/>
        </w:rPr>
        <w:t>已列明新建、扩建等的除外</w:t>
      </w:r>
    </w:p>
    <w:p>
      <w:pPr>
        <w:pStyle w:val="3"/>
        <w:rPr>
          <w:rFonts w:ascii="宋体"/>
          <w:sz w:val="20"/>
        </w:rPr>
      </w:pPr>
    </w:p>
    <w:p>
      <w:pPr>
        <w:pStyle w:val="3"/>
        <w:rPr>
          <w:rFonts w:ascii="宋体"/>
          <w:sz w:val="20"/>
        </w:rPr>
      </w:pPr>
    </w:p>
    <w:p>
      <w:pPr>
        <w:pStyle w:val="3"/>
        <w:rPr>
          <w:rFonts w:ascii="宋体"/>
          <w:sz w:val="20"/>
        </w:rPr>
      </w:pPr>
    </w:p>
    <w:p>
      <w:pPr>
        <w:pStyle w:val="3"/>
        <w:rPr>
          <w:rFonts w:ascii="宋体"/>
          <w:sz w:val="20"/>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bookmarkStart w:id="0" w:name="_GoBack"/>
      <w:bookmarkEnd w:id="0"/>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left"/>
        <w:rPr>
          <w:rFonts w:ascii="宋体" w:hAnsi="宋体"/>
          <w:sz w:val="28"/>
        </w:rPr>
      </w:pPr>
    </w:p>
    <w:p>
      <w:pPr>
        <w:tabs>
          <w:tab w:val="left" w:pos="1331"/>
        </w:tabs>
        <w:spacing w:before="62"/>
        <w:ind w:right="0"/>
        <w:jc w:val="right"/>
        <w:rPr>
          <w:rFonts w:hint="default" w:ascii="宋体" w:hAnsi="宋体" w:eastAsia="仿宋"/>
          <w:sz w:val="28"/>
          <w:lang w:val="en-US" w:eastAsia="zh-CN"/>
        </w:rPr>
      </w:pPr>
      <w:r>
        <w:rPr>
          <w:rFonts w:hint="eastAsia" w:ascii="宋体" w:hAnsi="宋体"/>
          <w:sz w:val="28"/>
          <w:lang w:val="en-US" w:eastAsia="zh-CN"/>
        </w:rPr>
        <w:t xml:space="preserve">                                                   —  8  —</w:t>
      </w:r>
    </w:p>
    <w:sectPr>
      <w:pgSz w:w="11910" w:h="16840"/>
      <w:pgMar w:top="1600" w:right="1240" w:bottom="280" w:left="11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391"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312" w:hanging="303"/>
      </w:pPr>
      <w:rPr>
        <w:rFonts w:hint="default"/>
        <w:lang w:val="zh-CN" w:eastAsia="zh-CN" w:bidi="zh-CN"/>
      </w:rPr>
    </w:lvl>
    <w:lvl w:ilvl="2" w:tentative="0">
      <w:start w:val="0"/>
      <w:numFmt w:val="bullet"/>
      <w:lvlText w:val="•"/>
      <w:lvlJc w:val="left"/>
      <w:pPr>
        <w:ind w:left="2225" w:hanging="303"/>
      </w:pPr>
      <w:rPr>
        <w:rFonts w:hint="default"/>
        <w:lang w:val="zh-CN" w:eastAsia="zh-CN" w:bidi="zh-CN"/>
      </w:rPr>
    </w:lvl>
    <w:lvl w:ilvl="3" w:tentative="0">
      <w:start w:val="0"/>
      <w:numFmt w:val="bullet"/>
      <w:lvlText w:val="•"/>
      <w:lvlJc w:val="left"/>
      <w:pPr>
        <w:ind w:left="3138" w:hanging="303"/>
      </w:pPr>
      <w:rPr>
        <w:rFonts w:hint="default"/>
        <w:lang w:val="zh-CN" w:eastAsia="zh-CN" w:bidi="zh-CN"/>
      </w:rPr>
    </w:lvl>
    <w:lvl w:ilvl="4" w:tentative="0">
      <w:start w:val="0"/>
      <w:numFmt w:val="bullet"/>
      <w:lvlText w:val="•"/>
      <w:lvlJc w:val="left"/>
      <w:pPr>
        <w:ind w:left="4050" w:hanging="303"/>
      </w:pPr>
      <w:rPr>
        <w:rFonts w:hint="default"/>
        <w:lang w:val="zh-CN" w:eastAsia="zh-CN" w:bidi="zh-CN"/>
      </w:rPr>
    </w:lvl>
    <w:lvl w:ilvl="5" w:tentative="0">
      <w:start w:val="0"/>
      <w:numFmt w:val="bullet"/>
      <w:lvlText w:val="•"/>
      <w:lvlJc w:val="left"/>
      <w:pPr>
        <w:ind w:left="4963" w:hanging="303"/>
      </w:pPr>
      <w:rPr>
        <w:rFonts w:hint="default"/>
        <w:lang w:val="zh-CN" w:eastAsia="zh-CN" w:bidi="zh-CN"/>
      </w:rPr>
    </w:lvl>
    <w:lvl w:ilvl="6" w:tentative="0">
      <w:start w:val="0"/>
      <w:numFmt w:val="bullet"/>
      <w:lvlText w:val="•"/>
      <w:lvlJc w:val="left"/>
      <w:pPr>
        <w:ind w:left="5876" w:hanging="303"/>
      </w:pPr>
      <w:rPr>
        <w:rFonts w:hint="default"/>
        <w:lang w:val="zh-CN" w:eastAsia="zh-CN" w:bidi="zh-CN"/>
      </w:rPr>
    </w:lvl>
    <w:lvl w:ilvl="7" w:tentative="0">
      <w:start w:val="0"/>
      <w:numFmt w:val="bullet"/>
      <w:lvlText w:val="•"/>
      <w:lvlJc w:val="left"/>
      <w:pPr>
        <w:ind w:left="6788" w:hanging="303"/>
      </w:pPr>
      <w:rPr>
        <w:rFonts w:hint="default"/>
        <w:lang w:val="zh-CN" w:eastAsia="zh-CN" w:bidi="zh-CN"/>
      </w:rPr>
    </w:lvl>
    <w:lvl w:ilvl="8" w:tentative="0">
      <w:start w:val="0"/>
      <w:numFmt w:val="bullet"/>
      <w:lvlText w:val="•"/>
      <w:lvlJc w:val="left"/>
      <w:pPr>
        <w:ind w:left="7701" w:hanging="303"/>
      </w:pPr>
      <w:rPr>
        <w:rFonts w:hint="default"/>
        <w:lang w:val="zh-CN" w:eastAsia="zh-CN" w:bidi="zh-CN"/>
      </w:rPr>
    </w:lvl>
  </w:abstractNum>
  <w:abstractNum w:abstractNumId="1">
    <w:nsid w:val="BF205925"/>
    <w:multiLevelType w:val="multilevel"/>
    <w:tmpl w:val="BF205925"/>
    <w:lvl w:ilvl="0" w:tentative="0">
      <w:start w:val="2"/>
      <w:numFmt w:val="decimal"/>
      <w:lvlText w:val="%1."/>
      <w:lvlJc w:val="left"/>
      <w:pPr>
        <w:ind w:left="1293"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2122" w:hanging="303"/>
      </w:pPr>
      <w:rPr>
        <w:rFonts w:hint="default"/>
        <w:lang w:val="zh-CN" w:eastAsia="zh-CN" w:bidi="zh-CN"/>
      </w:rPr>
    </w:lvl>
    <w:lvl w:ilvl="2" w:tentative="0">
      <w:start w:val="0"/>
      <w:numFmt w:val="bullet"/>
      <w:lvlText w:val="•"/>
      <w:lvlJc w:val="left"/>
      <w:pPr>
        <w:ind w:left="2945" w:hanging="303"/>
      </w:pPr>
      <w:rPr>
        <w:rFonts w:hint="default"/>
        <w:lang w:val="zh-CN" w:eastAsia="zh-CN" w:bidi="zh-CN"/>
      </w:rPr>
    </w:lvl>
    <w:lvl w:ilvl="3" w:tentative="0">
      <w:start w:val="0"/>
      <w:numFmt w:val="bullet"/>
      <w:lvlText w:val="•"/>
      <w:lvlJc w:val="left"/>
      <w:pPr>
        <w:ind w:left="3768" w:hanging="303"/>
      </w:pPr>
      <w:rPr>
        <w:rFonts w:hint="default"/>
        <w:lang w:val="zh-CN" w:eastAsia="zh-CN" w:bidi="zh-CN"/>
      </w:rPr>
    </w:lvl>
    <w:lvl w:ilvl="4" w:tentative="0">
      <w:start w:val="0"/>
      <w:numFmt w:val="bullet"/>
      <w:lvlText w:val="•"/>
      <w:lvlJc w:val="left"/>
      <w:pPr>
        <w:ind w:left="4590" w:hanging="303"/>
      </w:pPr>
      <w:rPr>
        <w:rFonts w:hint="default"/>
        <w:lang w:val="zh-CN" w:eastAsia="zh-CN" w:bidi="zh-CN"/>
      </w:rPr>
    </w:lvl>
    <w:lvl w:ilvl="5" w:tentative="0">
      <w:start w:val="0"/>
      <w:numFmt w:val="bullet"/>
      <w:lvlText w:val="•"/>
      <w:lvlJc w:val="left"/>
      <w:pPr>
        <w:ind w:left="5413" w:hanging="303"/>
      </w:pPr>
      <w:rPr>
        <w:rFonts w:hint="default"/>
        <w:lang w:val="zh-CN" w:eastAsia="zh-CN" w:bidi="zh-CN"/>
      </w:rPr>
    </w:lvl>
    <w:lvl w:ilvl="6" w:tentative="0">
      <w:start w:val="0"/>
      <w:numFmt w:val="bullet"/>
      <w:lvlText w:val="•"/>
      <w:lvlJc w:val="left"/>
      <w:pPr>
        <w:ind w:left="6236" w:hanging="303"/>
      </w:pPr>
      <w:rPr>
        <w:rFonts w:hint="default"/>
        <w:lang w:val="zh-CN" w:eastAsia="zh-CN" w:bidi="zh-CN"/>
      </w:rPr>
    </w:lvl>
    <w:lvl w:ilvl="7" w:tentative="0">
      <w:start w:val="0"/>
      <w:numFmt w:val="bullet"/>
      <w:lvlText w:val="•"/>
      <w:lvlJc w:val="left"/>
      <w:pPr>
        <w:ind w:left="7058" w:hanging="303"/>
      </w:pPr>
      <w:rPr>
        <w:rFonts w:hint="default"/>
        <w:lang w:val="zh-CN" w:eastAsia="zh-CN" w:bidi="zh-CN"/>
      </w:rPr>
    </w:lvl>
    <w:lvl w:ilvl="8" w:tentative="0">
      <w:start w:val="0"/>
      <w:numFmt w:val="bullet"/>
      <w:lvlText w:val="•"/>
      <w:lvlJc w:val="left"/>
      <w:pPr>
        <w:ind w:left="7881" w:hanging="303"/>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391" w:hanging="305"/>
        <w:jc w:val="left"/>
      </w:pPr>
      <w:rPr>
        <w:rFonts w:hint="default" w:ascii="仿宋" w:hAnsi="仿宋" w:eastAsia="仿宋" w:cs="仿宋"/>
        <w:spacing w:val="1"/>
        <w:w w:val="100"/>
        <w:sz w:val="28"/>
        <w:szCs w:val="28"/>
        <w:lang w:val="zh-CN" w:eastAsia="zh-CN" w:bidi="zh-CN"/>
      </w:rPr>
    </w:lvl>
    <w:lvl w:ilvl="1" w:tentative="0">
      <w:start w:val="0"/>
      <w:numFmt w:val="bullet"/>
      <w:lvlText w:val="•"/>
      <w:lvlJc w:val="left"/>
      <w:pPr>
        <w:ind w:left="1312" w:hanging="305"/>
      </w:pPr>
      <w:rPr>
        <w:rFonts w:hint="default"/>
        <w:lang w:val="zh-CN" w:eastAsia="zh-CN" w:bidi="zh-CN"/>
      </w:rPr>
    </w:lvl>
    <w:lvl w:ilvl="2" w:tentative="0">
      <w:start w:val="0"/>
      <w:numFmt w:val="bullet"/>
      <w:lvlText w:val="•"/>
      <w:lvlJc w:val="left"/>
      <w:pPr>
        <w:ind w:left="2225" w:hanging="305"/>
      </w:pPr>
      <w:rPr>
        <w:rFonts w:hint="default"/>
        <w:lang w:val="zh-CN" w:eastAsia="zh-CN" w:bidi="zh-CN"/>
      </w:rPr>
    </w:lvl>
    <w:lvl w:ilvl="3" w:tentative="0">
      <w:start w:val="0"/>
      <w:numFmt w:val="bullet"/>
      <w:lvlText w:val="•"/>
      <w:lvlJc w:val="left"/>
      <w:pPr>
        <w:ind w:left="3138" w:hanging="305"/>
      </w:pPr>
      <w:rPr>
        <w:rFonts w:hint="default"/>
        <w:lang w:val="zh-CN" w:eastAsia="zh-CN" w:bidi="zh-CN"/>
      </w:rPr>
    </w:lvl>
    <w:lvl w:ilvl="4" w:tentative="0">
      <w:start w:val="0"/>
      <w:numFmt w:val="bullet"/>
      <w:lvlText w:val="•"/>
      <w:lvlJc w:val="left"/>
      <w:pPr>
        <w:ind w:left="4050" w:hanging="305"/>
      </w:pPr>
      <w:rPr>
        <w:rFonts w:hint="default"/>
        <w:lang w:val="zh-CN" w:eastAsia="zh-CN" w:bidi="zh-CN"/>
      </w:rPr>
    </w:lvl>
    <w:lvl w:ilvl="5" w:tentative="0">
      <w:start w:val="0"/>
      <w:numFmt w:val="bullet"/>
      <w:lvlText w:val="•"/>
      <w:lvlJc w:val="left"/>
      <w:pPr>
        <w:ind w:left="4963" w:hanging="305"/>
      </w:pPr>
      <w:rPr>
        <w:rFonts w:hint="default"/>
        <w:lang w:val="zh-CN" w:eastAsia="zh-CN" w:bidi="zh-CN"/>
      </w:rPr>
    </w:lvl>
    <w:lvl w:ilvl="6" w:tentative="0">
      <w:start w:val="0"/>
      <w:numFmt w:val="bullet"/>
      <w:lvlText w:val="•"/>
      <w:lvlJc w:val="left"/>
      <w:pPr>
        <w:ind w:left="5876" w:hanging="305"/>
      </w:pPr>
      <w:rPr>
        <w:rFonts w:hint="default"/>
        <w:lang w:val="zh-CN" w:eastAsia="zh-CN" w:bidi="zh-CN"/>
      </w:rPr>
    </w:lvl>
    <w:lvl w:ilvl="7" w:tentative="0">
      <w:start w:val="0"/>
      <w:numFmt w:val="bullet"/>
      <w:lvlText w:val="•"/>
      <w:lvlJc w:val="left"/>
      <w:pPr>
        <w:ind w:left="6788" w:hanging="305"/>
      </w:pPr>
      <w:rPr>
        <w:rFonts w:hint="default"/>
        <w:lang w:val="zh-CN" w:eastAsia="zh-CN" w:bidi="zh-CN"/>
      </w:rPr>
    </w:lvl>
    <w:lvl w:ilvl="8" w:tentative="0">
      <w:start w:val="0"/>
      <w:numFmt w:val="bullet"/>
      <w:lvlText w:val="•"/>
      <w:lvlJc w:val="left"/>
      <w:pPr>
        <w:ind w:left="7701" w:hanging="305"/>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293"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2122" w:hanging="303"/>
      </w:pPr>
      <w:rPr>
        <w:rFonts w:hint="default"/>
        <w:lang w:val="zh-CN" w:eastAsia="zh-CN" w:bidi="zh-CN"/>
      </w:rPr>
    </w:lvl>
    <w:lvl w:ilvl="2" w:tentative="0">
      <w:start w:val="0"/>
      <w:numFmt w:val="bullet"/>
      <w:lvlText w:val="•"/>
      <w:lvlJc w:val="left"/>
      <w:pPr>
        <w:ind w:left="2945" w:hanging="303"/>
      </w:pPr>
      <w:rPr>
        <w:rFonts w:hint="default"/>
        <w:lang w:val="zh-CN" w:eastAsia="zh-CN" w:bidi="zh-CN"/>
      </w:rPr>
    </w:lvl>
    <w:lvl w:ilvl="3" w:tentative="0">
      <w:start w:val="0"/>
      <w:numFmt w:val="bullet"/>
      <w:lvlText w:val="•"/>
      <w:lvlJc w:val="left"/>
      <w:pPr>
        <w:ind w:left="3768" w:hanging="303"/>
      </w:pPr>
      <w:rPr>
        <w:rFonts w:hint="default"/>
        <w:lang w:val="zh-CN" w:eastAsia="zh-CN" w:bidi="zh-CN"/>
      </w:rPr>
    </w:lvl>
    <w:lvl w:ilvl="4" w:tentative="0">
      <w:start w:val="0"/>
      <w:numFmt w:val="bullet"/>
      <w:lvlText w:val="•"/>
      <w:lvlJc w:val="left"/>
      <w:pPr>
        <w:ind w:left="4590" w:hanging="303"/>
      </w:pPr>
      <w:rPr>
        <w:rFonts w:hint="default"/>
        <w:lang w:val="zh-CN" w:eastAsia="zh-CN" w:bidi="zh-CN"/>
      </w:rPr>
    </w:lvl>
    <w:lvl w:ilvl="5" w:tentative="0">
      <w:start w:val="0"/>
      <w:numFmt w:val="bullet"/>
      <w:lvlText w:val="•"/>
      <w:lvlJc w:val="left"/>
      <w:pPr>
        <w:ind w:left="5413" w:hanging="303"/>
      </w:pPr>
      <w:rPr>
        <w:rFonts w:hint="default"/>
        <w:lang w:val="zh-CN" w:eastAsia="zh-CN" w:bidi="zh-CN"/>
      </w:rPr>
    </w:lvl>
    <w:lvl w:ilvl="6" w:tentative="0">
      <w:start w:val="0"/>
      <w:numFmt w:val="bullet"/>
      <w:lvlText w:val="•"/>
      <w:lvlJc w:val="left"/>
      <w:pPr>
        <w:ind w:left="6236" w:hanging="303"/>
      </w:pPr>
      <w:rPr>
        <w:rFonts w:hint="default"/>
        <w:lang w:val="zh-CN" w:eastAsia="zh-CN" w:bidi="zh-CN"/>
      </w:rPr>
    </w:lvl>
    <w:lvl w:ilvl="7" w:tentative="0">
      <w:start w:val="0"/>
      <w:numFmt w:val="bullet"/>
      <w:lvlText w:val="•"/>
      <w:lvlJc w:val="left"/>
      <w:pPr>
        <w:ind w:left="7058" w:hanging="303"/>
      </w:pPr>
      <w:rPr>
        <w:rFonts w:hint="default"/>
        <w:lang w:val="zh-CN" w:eastAsia="zh-CN" w:bidi="zh-CN"/>
      </w:rPr>
    </w:lvl>
    <w:lvl w:ilvl="8" w:tentative="0">
      <w:start w:val="0"/>
      <w:numFmt w:val="bullet"/>
      <w:lvlText w:val="•"/>
      <w:lvlJc w:val="left"/>
      <w:pPr>
        <w:ind w:left="7881" w:hanging="303"/>
      </w:pPr>
      <w:rPr>
        <w:rFonts w:hint="default"/>
        <w:lang w:val="zh-CN" w:eastAsia="zh-CN" w:bidi="zh-CN"/>
      </w:rPr>
    </w:lvl>
  </w:abstractNum>
  <w:abstractNum w:abstractNumId="4">
    <w:nsid w:val="59ADCABA"/>
    <w:multiLevelType w:val="multilevel"/>
    <w:tmpl w:val="59ADCABA"/>
    <w:lvl w:ilvl="0" w:tentative="0">
      <w:start w:val="1"/>
      <w:numFmt w:val="decimal"/>
      <w:lvlText w:val="%1."/>
      <w:lvlJc w:val="left"/>
      <w:pPr>
        <w:ind w:left="391" w:hanging="305"/>
        <w:jc w:val="left"/>
      </w:pPr>
      <w:rPr>
        <w:rFonts w:hint="default" w:ascii="仿宋" w:hAnsi="仿宋" w:eastAsia="仿宋" w:cs="仿宋"/>
        <w:spacing w:val="1"/>
        <w:w w:val="100"/>
        <w:sz w:val="28"/>
        <w:szCs w:val="28"/>
        <w:lang w:val="zh-CN" w:eastAsia="zh-CN" w:bidi="zh-CN"/>
      </w:rPr>
    </w:lvl>
    <w:lvl w:ilvl="1" w:tentative="0">
      <w:start w:val="0"/>
      <w:numFmt w:val="bullet"/>
      <w:lvlText w:val="•"/>
      <w:lvlJc w:val="left"/>
      <w:pPr>
        <w:ind w:left="1312" w:hanging="305"/>
      </w:pPr>
      <w:rPr>
        <w:rFonts w:hint="default"/>
        <w:lang w:val="zh-CN" w:eastAsia="zh-CN" w:bidi="zh-CN"/>
      </w:rPr>
    </w:lvl>
    <w:lvl w:ilvl="2" w:tentative="0">
      <w:start w:val="0"/>
      <w:numFmt w:val="bullet"/>
      <w:lvlText w:val="•"/>
      <w:lvlJc w:val="left"/>
      <w:pPr>
        <w:ind w:left="2225" w:hanging="305"/>
      </w:pPr>
      <w:rPr>
        <w:rFonts w:hint="default"/>
        <w:lang w:val="zh-CN" w:eastAsia="zh-CN" w:bidi="zh-CN"/>
      </w:rPr>
    </w:lvl>
    <w:lvl w:ilvl="3" w:tentative="0">
      <w:start w:val="0"/>
      <w:numFmt w:val="bullet"/>
      <w:lvlText w:val="•"/>
      <w:lvlJc w:val="left"/>
      <w:pPr>
        <w:ind w:left="3138" w:hanging="305"/>
      </w:pPr>
      <w:rPr>
        <w:rFonts w:hint="default"/>
        <w:lang w:val="zh-CN" w:eastAsia="zh-CN" w:bidi="zh-CN"/>
      </w:rPr>
    </w:lvl>
    <w:lvl w:ilvl="4" w:tentative="0">
      <w:start w:val="0"/>
      <w:numFmt w:val="bullet"/>
      <w:lvlText w:val="•"/>
      <w:lvlJc w:val="left"/>
      <w:pPr>
        <w:ind w:left="4050" w:hanging="305"/>
      </w:pPr>
      <w:rPr>
        <w:rFonts w:hint="default"/>
        <w:lang w:val="zh-CN" w:eastAsia="zh-CN" w:bidi="zh-CN"/>
      </w:rPr>
    </w:lvl>
    <w:lvl w:ilvl="5" w:tentative="0">
      <w:start w:val="0"/>
      <w:numFmt w:val="bullet"/>
      <w:lvlText w:val="•"/>
      <w:lvlJc w:val="left"/>
      <w:pPr>
        <w:ind w:left="4963" w:hanging="305"/>
      </w:pPr>
      <w:rPr>
        <w:rFonts w:hint="default"/>
        <w:lang w:val="zh-CN" w:eastAsia="zh-CN" w:bidi="zh-CN"/>
      </w:rPr>
    </w:lvl>
    <w:lvl w:ilvl="6" w:tentative="0">
      <w:start w:val="0"/>
      <w:numFmt w:val="bullet"/>
      <w:lvlText w:val="•"/>
      <w:lvlJc w:val="left"/>
      <w:pPr>
        <w:ind w:left="5876" w:hanging="305"/>
      </w:pPr>
      <w:rPr>
        <w:rFonts w:hint="default"/>
        <w:lang w:val="zh-CN" w:eastAsia="zh-CN" w:bidi="zh-CN"/>
      </w:rPr>
    </w:lvl>
    <w:lvl w:ilvl="7" w:tentative="0">
      <w:start w:val="0"/>
      <w:numFmt w:val="bullet"/>
      <w:lvlText w:val="•"/>
      <w:lvlJc w:val="left"/>
      <w:pPr>
        <w:ind w:left="6788" w:hanging="305"/>
      </w:pPr>
      <w:rPr>
        <w:rFonts w:hint="default"/>
        <w:lang w:val="zh-CN" w:eastAsia="zh-CN" w:bidi="zh-CN"/>
      </w:rPr>
    </w:lvl>
    <w:lvl w:ilvl="8" w:tentative="0">
      <w:start w:val="0"/>
      <w:numFmt w:val="bullet"/>
      <w:lvlText w:val="•"/>
      <w:lvlJc w:val="left"/>
      <w:pPr>
        <w:ind w:left="7701" w:hanging="305"/>
      </w:pPr>
      <w:rPr>
        <w:rFonts w:hint="default"/>
        <w:lang w:val="zh-CN" w:eastAsia="zh-CN" w:bidi="zh-C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41C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71"/>
      <w:ind w:left="99"/>
      <w:jc w:val="center"/>
      <w:outlineLvl w:val="1"/>
    </w:pPr>
    <w:rPr>
      <w:rFonts w:ascii="微软雅黑" w:hAnsi="微软雅黑" w:eastAsia="微软雅黑" w:cs="微软雅黑"/>
      <w:sz w:val="38"/>
      <w:szCs w:val="38"/>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391" w:hanging="303"/>
    </w:pPr>
    <w:rPr>
      <w:rFonts w:ascii="仿宋" w:hAnsi="仿宋" w:eastAsia="仿宋" w:cs="仿宋"/>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2020-08-12T01:44:00Z</dcterms:created>
  <dc:creator>黄进</dc:creator>
  <cp:lastModifiedBy>Katherine-玉红</cp:lastModifiedBy>
  <dcterms:modified xsi:type="dcterms:W3CDTF">2020-08-12T01:48:16Z</dcterms:modified>
  <dc:title>《关于发布建设项目环境影响报告书（表）编制监督管理办法配套文件的公告》（生态环境部公告2019年第38号）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WPS 文字</vt:lpwstr>
  </property>
  <property fmtid="{D5CDD505-2E9C-101B-9397-08002B2CF9AE}" pid="4" name="LastSaved">
    <vt:filetime>2020-08-12T00:00:00Z</vt:filetime>
  </property>
  <property fmtid="{D5CDD505-2E9C-101B-9397-08002B2CF9AE}" pid="5" name="KSOProductBuildVer">
    <vt:lpwstr>2052-11.1.0.9912</vt:lpwstr>
  </property>
</Properties>
</file>