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
        <w:rPr>
          <w:rFonts w:ascii="宋体"/>
          <w:sz w:val="17"/>
        </w:rPr>
      </w:pPr>
    </w:p>
    <w:p>
      <w:pPr>
        <w:spacing w:before="54"/>
        <w:ind w:left="391" w:right="0" w:firstLine="0"/>
        <w:jc w:val="left"/>
        <w:rPr>
          <w:rFonts w:hint="eastAsia" w:ascii="黑体" w:eastAsia="黑体"/>
          <w:sz w:val="32"/>
        </w:rPr>
      </w:pPr>
      <w:r>
        <w:rPr>
          <w:rFonts w:hint="eastAsia" w:ascii="黑体" w:eastAsia="黑体"/>
          <w:sz w:val="32"/>
        </w:rPr>
        <w:t>附件3</w:t>
      </w:r>
    </w:p>
    <w:p>
      <w:pPr>
        <w:pStyle w:val="2"/>
        <w:rPr>
          <w:rFonts w:ascii="黑体"/>
          <w:sz w:val="20"/>
        </w:rPr>
      </w:pPr>
    </w:p>
    <w:p>
      <w:pPr>
        <w:pStyle w:val="2"/>
        <w:rPr>
          <w:rFonts w:ascii="黑体"/>
          <w:sz w:val="20"/>
        </w:rPr>
      </w:pPr>
    </w:p>
    <w:p>
      <w:pPr>
        <w:spacing w:before="206" w:line="223" w:lineRule="auto"/>
        <w:ind w:left="1391" w:right="1293" w:firstLine="0"/>
        <w:jc w:val="center"/>
        <w:rPr>
          <w:rFonts w:hint="eastAsia" w:ascii="微软雅黑" w:eastAsia="微软雅黑"/>
          <w:sz w:val="38"/>
        </w:rPr>
      </w:pPr>
      <w:bookmarkStart w:id="0" w:name="_GoBack"/>
      <w:r>
        <w:rPr>
          <w:rFonts w:hint="eastAsia" w:ascii="微软雅黑" w:eastAsia="微软雅黑"/>
          <w:sz w:val="38"/>
        </w:rPr>
        <w:t>建设项目环境影响报告书（表）编制单位和编制人员失信行为记分办法</w:t>
      </w:r>
    </w:p>
    <w:bookmarkEnd w:id="0"/>
    <w:p>
      <w:pPr>
        <w:spacing w:before="185"/>
        <w:ind w:left="2652" w:right="2553" w:firstLine="0"/>
        <w:jc w:val="center"/>
        <w:rPr>
          <w:rFonts w:hint="eastAsia" w:ascii="楷体" w:eastAsia="楷体"/>
          <w:sz w:val="32"/>
        </w:rPr>
      </w:pPr>
      <w:r>
        <w:rPr>
          <w:rFonts w:hint="eastAsia" w:ascii="楷体" w:eastAsia="楷体"/>
          <w:sz w:val="32"/>
        </w:rPr>
        <w:t>（ 试 行 ）</w:t>
      </w:r>
    </w:p>
    <w:p>
      <w:pPr>
        <w:pStyle w:val="2"/>
        <w:rPr>
          <w:rFonts w:ascii="楷体"/>
          <w:sz w:val="32"/>
        </w:rPr>
      </w:pPr>
    </w:p>
    <w:p>
      <w:pPr>
        <w:pStyle w:val="2"/>
        <w:spacing w:before="4"/>
        <w:rPr>
          <w:rFonts w:ascii="楷体"/>
          <w:sz w:val="23"/>
        </w:rPr>
      </w:pPr>
    </w:p>
    <w:p>
      <w:pPr>
        <w:pStyle w:val="2"/>
        <w:spacing w:before="1" w:line="364" w:lineRule="auto"/>
        <w:ind w:left="391" w:right="289" w:firstLine="600"/>
        <w:jc w:val="both"/>
      </w:pPr>
      <w:r>
        <w:rPr>
          <w:rFonts w:hint="eastAsia" w:ascii="黑体" w:eastAsia="黑体"/>
          <w:spacing w:val="15"/>
        </w:rPr>
        <w:t xml:space="preserve">第一条  </w:t>
      </w:r>
      <w:r>
        <w:rPr>
          <w:spacing w:val="15"/>
        </w:rPr>
        <w:t>为规范建设项目环境影响报告书和环境影响报告表</w:t>
      </w:r>
      <w:r>
        <w:rPr>
          <w:spacing w:val="3"/>
        </w:rPr>
        <w:t>(以下简称环境影响报告书</w:t>
      </w:r>
      <w:r>
        <w:rPr>
          <w:spacing w:val="4"/>
        </w:rPr>
        <w:t>（表</w:t>
      </w:r>
      <w:r>
        <w:rPr>
          <w:spacing w:val="5"/>
        </w:rPr>
        <w:t>）</w:t>
      </w:r>
      <w:r>
        <w:rPr>
          <w:spacing w:val="3"/>
        </w:rPr>
        <w:t>)编制行为监督检查过程中，编制</w:t>
      </w:r>
      <w:r>
        <w:rPr>
          <w:spacing w:val="4"/>
        </w:rPr>
        <w:t>单位和编制人员（以下统称信用管理对象）</w:t>
      </w:r>
      <w:r>
        <w:rPr>
          <w:spacing w:val="3"/>
        </w:rPr>
        <w:t>的失信行为记分，根据</w:t>
      </w:r>
    </w:p>
    <w:p>
      <w:pPr>
        <w:pStyle w:val="2"/>
        <w:spacing w:line="384" w:lineRule="exact"/>
        <w:ind w:left="391"/>
      </w:pPr>
      <w:r>
        <w:rPr>
          <w:spacing w:val="4"/>
        </w:rPr>
        <w:t>《建设项目环境影响报告书（表）编制监督管理办法》（</w:t>
      </w:r>
      <w:r>
        <w:rPr>
          <w:spacing w:val="3"/>
        </w:rPr>
        <w:t>以下简称</w:t>
      </w:r>
    </w:p>
    <w:p>
      <w:pPr>
        <w:pStyle w:val="2"/>
        <w:spacing w:before="199"/>
        <w:ind w:left="391"/>
      </w:pPr>
      <w:r>
        <w:t>《监督管理办法》），制定本办法。</w:t>
      </w:r>
    </w:p>
    <w:p>
      <w:pPr>
        <w:pStyle w:val="2"/>
        <w:spacing w:before="198" w:line="364" w:lineRule="auto"/>
        <w:ind w:left="391" w:right="289" w:firstLine="600"/>
        <w:jc w:val="both"/>
      </w:pPr>
      <w:r>
        <w:rPr>
          <w:rFonts w:hint="eastAsia" w:ascii="黑体" w:eastAsia="黑体"/>
          <w:spacing w:val="18"/>
        </w:rPr>
        <w:t xml:space="preserve">第二条 </w:t>
      </w:r>
      <w:r>
        <w:t>信用管理对象失信行为的记分周期（</w:t>
      </w:r>
      <w:r>
        <w:rPr>
          <w:spacing w:val="7"/>
        </w:rPr>
        <w:t>以下简称记分周期</w:t>
      </w:r>
      <w:r>
        <w:rPr>
          <w:spacing w:val="-147"/>
        </w:rPr>
        <w:t>）</w:t>
      </w:r>
      <w:r>
        <w:rPr>
          <w:spacing w:val="-19"/>
        </w:rPr>
        <w:t>为一年，自信用管理对象在全国统一的环境影响评价信用平台</w:t>
      </w:r>
      <w:r>
        <w:rPr>
          <w:spacing w:val="-3"/>
        </w:rPr>
        <w:t>（</w:t>
      </w:r>
      <w:r>
        <w:rPr>
          <w:spacing w:val="-13"/>
        </w:rPr>
        <w:t>以</w:t>
      </w:r>
      <w:r>
        <w:t>下简称信用平台）建立诚信档案之日起计算。</w:t>
      </w:r>
    </w:p>
    <w:p>
      <w:pPr>
        <w:pStyle w:val="2"/>
        <w:spacing w:line="364" w:lineRule="auto"/>
        <w:ind w:left="391" w:right="289" w:firstLine="600"/>
      </w:pPr>
      <w:r>
        <w:t>列入《监督管理办法》规定的限期整改名单的信用管理对象记分周期，自限期整改之日起重新计算。</w:t>
      </w:r>
    </w:p>
    <w:p>
      <w:pPr>
        <w:pStyle w:val="2"/>
        <w:spacing w:line="364" w:lineRule="auto"/>
        <w:ind w:left="391" w:right="138" w:firstLine="600"/>
      </w:pPr>
      <w:r>
        <w:t>列入《监督管理办法》规定的环境影响评价失信“黑名单”的信用管理对象，在禁止从事环境影响报告书（表）编制工作期间不再实施失信记分；禁止从事环境影响报告书（表）编制工作期满的， 记分周期自期满次日起重新计算。</w:t>
      </w:r>
    </w:p>
    <w:p>
      <w:pPr>
        <w:pStyle w:val="2"/>
        <w:spacing w:line="380" w:lineRule="exact"/>
        <w:ind w:left="1015"/>
      </w:pPr>
      <w:r>
        <w:rPr>
          <w:spacing w:val="14"/>
        </w:rPr>
        <w:t>失信记分的警示分数为一个记分周期内累计失信记分</w:t>
      </w:r>
      <w:r>
        <w:rPr>
          <w:spacing w:val="6"/>
        </w:rPr>
        <w:t>10</w:t>
      </w:r>
      <w:r>
        <w:rPr>
          <w:spacing w:val="8"/>
        </w:rPr>
        <w:t>分。</w:t>
      </w:r>
    </w:p>
    <w:p>
      <w:pPr>
        <w:pStyle w:val="2"/>
        <w:spacing w:before="199"/>
        <w:ind w:left="391"/>
      </w:pPr>
      <w:r>
        <w:rPr>
          <w:spacing w:val="14"/>
        </w:rPr>
        <w:t>失信记分的限制分数为一个记分周期内失信记分直接达到</w:t>
      </w:r>
      <w:r>
        <w:rPr>
          <w:spacing w:val="6"/>
        </w:rPr>
        <w:t>20</w:t>
      </w:r>
      <w:r>
        <w:rPr>
          <w:spacing w:val="8"/>
        </w:rPr>
        <w:t>分或</w:t>
      </w:r>
    </w:p>
    <w:p>
      <w:pPr>
        <w:tabs>
          <w:tab w:val="left" w:pos="940"/>
        </w:tabs>
        <w:spacing w:before="48"/>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23</w:t>
      </w:r>
      <w:r>
        <w:rPr>
          <w:rFonts w:ascii="宋体" w:hAnsi="宋体"/>
          <w:sz w:val="26"/>
        </w:rPr>
        <w:tab/>
      </w:r>
      <w:r>
        <w:rPr>
          <w:rFonts w:ascii="宋体" w:hAnsi="宋体"/>
          <w:spacing w:val="-1"/>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391"/>
      </w:pPr>
      <w:r>
        <w:t>者实时累计达到20分。</w:t>
      </w:r>
    </w:p>
    <w:p>
      <w:pPr>
        <w:pStyle w:val="2"/>
        <w:spacing w:before="199" w:line="364" w:lineRule="auto"/>
        <w:ind w:left="391" w:right="289" w:firstLine="600"/>
        <w:jc w:val="both"/>
      </w:pPr>
      <w:r>
        <w:rPr>
          <w:rFonts w:hint="eastAsia" w:ascii="黑体" w:eastAsia="黑体"/>
        </w:rPr>
        <w:t xml:space="preserve">第三条 </w:t>
      </w:r>
      <w:r>
        <w:t>主持编制环境影响报告书（表）的技术单位因环境影响报告书（表）存在《监督管理办法》第二十六条第二款、第二十七条所列问题，禁止从事环境影响报告书（表）编制工作的，失信记分 20 分。</w:t>
      </w:r>
    </w:p>
    <w:p>
      <w:pPr>
        <w:pStyle w:val="2"/>
        <w:spacing w:line="364" w:lineRule="auto"/>
        <w:ind w:left="391" w:right="289" w:firstLine="600"/>
        <w:jc w:val="both"/>
      </w:pPr>
      <w:r>
        <w:rPr>
          <w:rFonts w:hint="eastAsia" w:ascii="黑体" w:eastAsia="黑体"/>
          <w:spacing w:val="5"/>
        </w:rPr>
        <w:t xml:space="preserve">第四条 </w:t>
      </w:r>
      <w:r>
        <w:rPr>
          <w:spacing w:val="4"/>
        </w:rPr>
        <w:t>编制人员因环境影响报告书（表</w:t>
      </w:r>
      <w:r>
        <w:rPr>
          <w:spacing w:val="7"/>
        </w:rPr>
        <w:t>）</w:t>
      </w:r>
      <w:r>
        <w:rPr>
          <w:spacing w:val="3"/>
        </w:rPr>
        <w:t>存在《监督管理办法》第二十六条第二款、第二十七条所列问题，五年内或者终身禁止从事环境影响报告书（表）</w:t>
      </w:r>
      <w:r>
        <w:rPr>
          <w:spacing w:val="-5"/>
        </w:rPr>
        <w:t xml:space="preserve">编制工作的，失信记分 </w:t>
      </w:r>
      <w:r>
        <w:t>20</w:t>
      </w:r>
      <w:r>
        <w:rPr>
          <w:spacing w:val="-26"/>
        </w:rPr>
        <w:t xml:space="preserve"> 分。</w:t>
      </w:r>
    </w:p>
    <w:p>
      <w:pPr>
        <w:pStyle w:val="2"/>
        <w:spacing w:line="381" w:lineRule="exact"/>
        <w:ind w:left="991"/>
        <w:jc w:val="both"/>
      </w:pPr>
      <w:r>
        <w:rPr>
          <w:rFonts w:hint="eastAsia" w:ascii="黑体" w:eastAsia="黑体"/>
        </w:rPr>
        <w:t xml:space="preserve">第五条  </w:t>
      </w:r>
      <w:r>
        <w:rPr>
          <w:spacing w:val="-5"/>
        </w:rPr>
        <w:t xml:space="preserve">编制单位有下列情形之一的，失信记分 </w:t>
      </w:r>
      <w:r>
        <w:t>10</w:t>
      </w:r>
      <w:r>
        <w:rPr>
          <w:spacing w:val="-26"/>
        </w:rPr>
        <w:t xml:space="preserve"> 分：</w:t>
      </w:r>
    </w:p>
    <w:p>
      <w:pPr>
        <w:pStyle w:val="2"/>
        <w:spacing w:before="199" w:line="364" w:lineRule="auto"/>
        <w:ind w:left="391" w:right="289" w:firstLine="600"/>
        <w:jc w:val="both"/>
      </w:pPr>
      <w:r>
        <w:t>（一）自行主持编制环境影响报告书（表）的建设单位因环境影响报告书（表）存在《监督管理办法》第二十六条第二款、第二十七条所列问题受到处罚的；</w:t>
      </w:r>
    </w:p>
    <w:p>
      <w:pPr>
        <w:pStyle w:val="2"/>
        <w:spacing w:line="364" w:lineRule="auto"/>
        <w:ind w:left="391" w:right="138" w:firstLine="600"/>
      </w:pPr>
      <w:r>
        <w:t>（二）接受委托主持编制环境影响报告书（表）的技术单位因环境影响报告书（表）存在《监督管理办法》第二十六条第二款、第二十七条所列问题受到处罚，但未禁止从事环境影响报告书（表） 编制工作的；</w:t>
      </w:r>
    </w:p>
    <w:p>
      <w:pPr>
        <w:pStyle w:val="2"/>
        <w:spacing w:line="364" w:lineRule="auto"/>
        <w:ind w:left="391" w:right="289" w:firstLine="600"/>
      </w:pPr>
      <w:r>
        <w:t>（三）违反《监督管理办法》第九条第二款规定，作为技术单位编制环境影响报告书（表）的；</w:t>
      </w:r>
    </w:p>
    <w:p>
      <w:pPr>
        <w:pStyle w:val="2"/>
        <w:spacing w:line="364" w:lineRule="auto"/>
        <w:ind w:left="391" w:right="138" w:firstLine="600"/>
      </w:pPr>
      <w:r>
        <w:t>（四）内设机构、分支机构或者临时机构违反《监督管理办法》第九条第三款规定，主持编制环境影响报告书（表）的。</w:t>
      </w:r>
    </w:p>
    <w:p>
      <w:pPr>
        <w:pStyle w:val="2"/>
        <w:tabs>
          <w:tab w:val="left" w:pos="2217"/>
        </w:tabs>
        <w:spacing w:line="364" w:lineRule="auto"/>
        <w:ind w:left="391" w:right="289" w:firstLine="600"/>
      </w:pPr>
      <w:r>
        <w:rPr>
          <w:rFonts w:hint="eastAsia" w:ascii="黑体" w:eastAsia="黑体"/>
          <w:spacing w:val="4"/>
        </w:rPr>
        <w:t>第六</w:t>
      </w:r>
      <w:r>
        <w:rPr>
          <w:rFonts w:hint="eastAsia" w:ascii="黑体" w:eastAsia="黑体"/>
        </w:rPr>
        <w:t>条</w:t>
      </w:r>
      <w:r>
        <w:rPr>
          <w:rFonts w:hint="eastAsia" w:ascii="黑体" w:eastAsia="黑体"/>
        </w:rPr>
        <w:tab/>
      </w:r>
      <w:r>
        <w:rPr>
          <w:spacing w:val="4"/>
        </w:rPr>
        <w:t>编制</w:t>
      </w:r>
      <w:r>
        <w:rPr>
          <w:spacing w:val="7"/>
        </w:rPr>
        <w:t>单</w:t>
      </w:r>
      <w:r>
        <w:rPr>
          <w:spacing w:val="4"/>
        </w:rPr>
        <w:t>位或者编制</w:t>
      </w:r>
      <w:r>
        <w:rPr>
          <w:spacing w:val="7"/>
        </w:rPr>
        <w:t>人</w:t>
      </w:r>
      <w:r>
        <w:rPr>
          <w:spacing w:val="4"/>
        </w:rPr>
        <w:t>员未按</w:t>
      </w:r>
      <w:r>
        <w:rPr>
          <w:spacing w:val="7"/>
        </w:rPr>
        <w:t>照</w:t>
      </w:r>
      <w:r>
        <w:rPr>
          <w:spacing w:val="4"/>
        </w:rPr>
        <w:t>《监</w:t>
      </w:r>
      <w:r>
        <w:rPr>
          <w:spacing w:val="7"/>
        </w:rPr>
        <w:t>督</w:t>
      </w:r>
      <w:r>
        <w:rPr>
          <w:spacing w:val="4"/>
        </w:rPr>
        <w:t>管理办法》</w:t>
      </w:r>
      <w:r>
        <w:rPr>
          <w:spacing w:val="7"/>
        </w:rPr>
        <w:t>第</w:t>
      </w:r>
      <w:r>
        <w:t>二十五条规定</w:t>
      </w:r>
      <w:r>
        <w:rPr>
          <w:spacing w:val="4"/>
        </w:rPr>
        <w:t>接</w:t>
      </w:r>
      <w:r>
        <w:rPr>
          <w:spacing w:val="7"/>
        </w:rPr>
        <w:t>受</w:t>
      </w:r>
      <w:r>
        <w:rPr>
          <w:spacing w:val="4"/>
        </w:rPr>
        <w:t>生</w:t>
      </w:r>
      <w:r>
        <w:rPr>
          <w:spacing w:val="7"/>
        </w:rPr>
        <w:t>态</w:t>
      </w:r>
      <w:r>
        <w:rPr>
          <w:spacing w:val="4"/>
        </w:rPr>
        <w:t>环境</w:t>
      </w:r>
      <w:r>
        <w:rPr>
          <w:spacing w:val="7"/>
        </w:rPr>
        <w:t>主</w:t>
      </w:r>
      <w:r>
        <w:rPr>
          <w:spacing w:val="4"/>
        </w:rPr>
        <w:t>管</w:t>
      </w:r>
      <w:r>
        <w:rPr>
          <w:spacing w:val="7"/>
        </w:rPr>
        <w:t>部</w:t>
      </w:r>
      <w:r>
        <w:rPr>
          <w:spacing w:val="4"/>
        </w:rPr>
        <w:t>门监</w:t>
      </w:r>
      <w:r>
        <w:rPr>
          <w:spacing w:val="7"/>
        </w:rPr>
        <w:t>督</w:t>
      </w:r>
      <w:r>
        <w:rPr>
          <w:spacing w:val="4"/>
        </w:rPr>
        <w:t>检</w:t>
      </w:r>
      <w:r>
        <w:rPr>
          <w:spacing w:val="7"/>
        </w:rPr>
        <w:t>查</w:t>
      </w:r>
      <w:r>
        <w:rPr>
          <w:spacing w:val="4"/>
        </w:rPr>
        <w:t>，或</w:t>
      </w:r>
      <w:r>
        <w:rPr>
          <w:spacing w:val="7"/>
        </w:rPr>
        <w:t>者</w:t>
      </w:r>
      <w:r>
        <w:rPr>
          <w:spacing w:val="4"/>
        </w:rPr>
        <w:t>在</w:t>
      </w:r>
      <w:r>
        <w:rPr>
          <w:spacing w:val="7"/>
        </w:rPr>
        <w:t>接</w:t>
      </w:r>
      <w:r>
        <w:rPr>
          <w:spacing w:val="4"/>
        </w:rPr>
        <w:t>受监</w:t>
      </w:r>
      <w:r>
        <w:rPr>
          <w:spacing w:val="7"/>
        </w:rPr>
        <w:t>督</w:t>
      </w:r>
      <w:r>
        <w:rPr>
          <w:spacing w:val="4"/>
        </w:rPr>
        <w:t>检</w:t>
      </w:r>
      <w:r>
        <w:t>查</w:t>
      </w:r>
    </w:p>
    <w:p>
      <w:pPr>
        <w:tabs>
          <w:tab w:val="left" w:pos="1331"/>
        </w:tabs>
        <w:spacing w:before="76"/>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24</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391"/>
        <w:jc w:val="both"/>
      </w:pPr>
      <w:r>
        <w:t>时弄虚作假，未如实说明情况、提供相关材料的，失信记分 10 分。</w:t>
      </w:r>
    </w:p>
    <w:p>
      <w:pPr>
        <w:pStyle w:val="2"/>
        <w:spacing w:before="199" w:line="364" w:lineRule="auto"/>
        <w:ind w:left="391" w:right="287" w:firstLine="600"/>
        <w:jc w:val="both"/>
      </w:pPr>
      <w:r>
        <w:rPr>
          <w:rFonts w:hint="eastAsia" w:ascii="黑体" w:eastAsia="黑体"/>
        </w:rPr>
        <w:t xml:space="preserve">第七条 </w:t>
      </w:r>
      <w:r>
        <w:rPr>
          <w:spacing w:val="-3"/>
        </w:rPr>
        <w:t>编制单位和编制人员因环境影响报告书</w:t>
      </w:r>
      <w:r>
        <w:t>（表</w:t>
      </w:r>
      <w:r>
        <w:rPr>
          <w:spacing w:val="-53"/>
        </w:rPr>
        <w:t>）</w:t>
      </w:r>
      <w:r>
        <w:rPr>
          <w:spacing w:val="-18"/>
        </w:rPr>
        <w:t>存在《监</w:t>
      </w:r>
      <w:r>
        <w:rPr>
          <w:spacing w:val="3"/>
        </w:rPr>
        <w:t>督管理办法》第二十六条第一款所列问题受到通报批评的，对编制</w:t>
      </w:r>
      <w:r>
        <w:rPr>
          <w:spacing w:val="-3"/>
        </w:rPr>
        <w:t xml:space="preserve">单位和编制人员分别失信记分 </w:t>
      </w:r>
      <w:r>
        <w:t>5</w:t>
      </w:r>
      <w:r>
        <w:rPr>
          <w:spacing w:val="-26"/>
        </w:rPr>
        <w:t xml:space="preserve"> 分。</w:t>
      </w:r>
    </w:p>
    <w:p>
      <w:pPr>
        <w:pStyle w:val="2"/>
        <w:spacing w:line="364" w:lineRule="auto"/>
        <w:ind w:left="391" w:right="294" w:firstLine="600"/>
        <w:jc w:val="both"/>
      </w:pPr>
      <w:r>
        <w:rPr>
          <w:rFonts w:hint="eastAsia" w:ascii="黑体" w:eastAsia="黑体"/>
        </w:rPr>
        <w:t xml:space="preserve">第八条 </w:t>
      </w:r>
      <w:r>
        <w:t>信用管理对象有下列情形之一的，对编制单位和编制人员分别失信记分 5 分：</w:t>
      </w:r>
    </w:p>
    <w:p>
      <w:pPr>
        <w:pStyle w:val="2"/>
        <w:spacing w:line="364" w:lineRule="auto"/>
        <w:ind w:left="391" w:right="289" w:firstLine="600"/>
      </w:pPr>
      <w:r>
        <w:t>（一）未按照《监督管理办法》第十条规定由编制单位全职人员作为环境影响报告书（表）编制人员的；</w:t>
      </w:r>
    </w:p>
    <w:p>
      <w:pPr>
        <w:pStyle w:val="2"/>
        <w:spacing w:line="364" w:lineRule="auto"/>
        <w:ind w:left="391" w:right="289" w:firstLine="600"/>
        <w:jc w:val="both"/>
      </w:pPr>
      <w:r>
        <w:t>（二）未按照《监督管理办法》第十条规定由取得环境影响评价工程师职业资格证书人员作为环境影响报告书（表）编制主持人的。</w:t>
      </w:r>
    </w:p>
    <w:p>
      <w:pPr>
        <w:pStyle w:val="2"/>
        <w:spacing w:line="384" w:lineRule="exact"/>
        <w:ind w:left="991"/>
        <w:jc w:val="both"/>
      </w:pPr>
      <w:r>
        <w:rPr>
          <w:rFonts w:hint="eastAsia" w:ascii="黑体" w:eastAsia="黑体"/>
        </w:rPr>
        <w:t xml:space="preserve">第九条 </w:t>
      </w:r>
      <w:r>
        <w:t>编制单位有下列情形之一的，失信记分 4 分：</w:t>
      </w:r>
    </w:p>
    <w:p>
      <w:pPr>
        <w:pStyle w:val="2"/>
        <w:spacing w:before="193" w:line="364" w:lineRule="auto"/>
        <w:ind w:left="391" w:right="426" w:firstLine="600"/>
        <w:jc w:val="both"/>
      </w:pPr>
      <w:r>
        <w:t>（一）未按照《监督管理办法》第十一条第一款和《建设项目环境影响报告书（表）编制单位和编制人员信息公开管理规定（试行）》（以下简称《公开管理规定》）第三条规定通过信用平台提交本单位基本情况信息的；</w:t>
      </w:r>
    </w:p>
    <w:p>
      <w:pPr>
        <w:pStyle w:val="2"/>
        <w:spacing w:line="364" w:lineRule="auto"/>
        <w:ind w:left="391" w:right="289" w:firstLine="600"/>
        <w:jc w:val="both"/>
      </w:pPr>
      <w:r>
        <w:t>（二）未按照《监督管理办法》第十四条第一款和《公开管理规定》第五条规定通过信用平台提交环境影响报告书（表）基本情况信息的；</w:t>
      </w:r>
    </w:p>
    <w:p>
      <w:pPr>
        <w:pStyle w:val="2"/>
        <w:spacing w:line="364" w:lineRule="auto"/>
        <w:ind w:left="391" w:right="289" w:firstLine="600"/>
      </w:pPr>
      <w:r>
        <w:t>（三）违反《监督管理办法》第十四条第二款规定，未在环境影响报告书（表）中附具《编制单位和编制人员情况表》或者未在</w:t>
      </w:r>
    </w:p>
    <w:p>
      <w:pPr>
        <w:pStyle w:val="2"/>
        <w:ind w:left="391"/>
      </w:pPr>
      <w:r>
        <w:t>《编制单位和编制人员情况表》中盖章的；</w:t>
      </w:r>
    </w:p>
    <w:p>
      <w:pPr>
        <w:pStyle w:val="2"/>
        <w:rPr>
          <w:sz w:val="17"/>
        </w:rPr>
      </w:pPr>
    </w:p>
    <w:p>
      <w:pPr>
        <w:tabs>
          <w:tab w:val="left" w:pos="940"/>
        </w:tabs>
        <w:spacing w:before="62"/>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25</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9" w:firstLine="600"/>
        <w:jc w:val="both"/>
      </w:pPr>
      <w:r>
        <w:t>（四）违反《监督管理办法》第十四条第二款规定，在环境影响报告书（表）中附具的《编制单位和编制人员情况表》未由信用平台导出的。</w:t>
      </w:r>
    </w:p>
    <w:p>
      <w:pPr>
        <w:pStyle w:val="2"/>
        <w:spacing w:line="384" w:lineRule="exact"/>
        <w:ind w:left="991"/>
        <w:jc w:val="both"/>
      </w:pPr>
      <w:r>
        <w:rPr>
          <w:rFonts w:hint="eastAsia" w:ascii="黑体" w:eastAsia="黑体"/>
        </w:rPr>
        <w:t xml:space="preserve">第十条 </w:t>
      </w:r>
      <w:r>
        <w:t>编制人员未按照《监督管理办法》第十一条第一款和</w:t>
      </w:r>
    </w:p>
    <w:p>
      <w:pPr>
        <w:pStyle w:val="2"/>
        <w:spacing w:before="199" w:line="364" w:lineRule="auto"/>
        <w:ind w:left="391" w:right="289"/>
        <w:jc w:val="both"/>
      </w:pPr>
      <w:r>
        <w:t>《公开管理规定》第四条规定通过信用平台提交本人基本情况信息的，失信记分 4 分。</w:t>
      </w:r>
    </w:p>
    <w:p>
      <w:pPr>
        <w:pStyle w:val="2"/>
        <w:spacing w:line="364" w:lineRule="auto"/>
        <w:ind w:left="391" w:right="289" w:firstLine="600"/>
        <w:jc w:val="both"/>
      </w:pPr>
      <w:r>
        <w:rPr>
          <w:rFonts w:hint="eastAsia" w:ascii="黑体" w:eastAsia="黑体"/>
        </w:rPr>
        <w:t xml:space="preserve">第十一条 </w:t>
      </w:r>
      <w:r>
        <w:t>编制单位未按照《监督管理办法》第十三条第一款规定进行环境影响评价质量控制的，失信记分 3 分。</w:t>
      </w:r>
    </w:p>
    <w:p>
      <w:pPr>
        <w:pStyle w:val="2"/>
        <w:spacing w:line="364" w:lineRule="auto"/>
        <w:ind w:left="391" w:right="289" w:firstLine="600"/>
        <w:jc w:val="both"/>
      </w:pPr>
      <w:r>
        <w:rPr>
          <w:rFonts w:hint="eastAsia" w:ascii="黑体" w:eastAsia="黑体"/>
        </w:rPr>
        <w:t xml:space="preserve">第十二条 </w:t>
      </w:r>
      <w:r>
        <w:t>编制单位未按照《监督管理办法》和《公开管理规定》在信用平台及时变更本单位及其编制人员相关情况信息，或者在信用平台提交的本单位及其编制人员相关情况信息不真实、不准确、不完整，有下列情形之一的，失信记分 3 分：</w:t>
      </w:r>
    </w:p>
    <w:p>
      <w:pPr>
        <w:pStyle w:val="2"/>
        <w:spacing w:line="364" w:lineRule="auto"/>
        <w:ind w:left="391" w:right="289" w:firstLine="600"/>
      </w:pPr>
      <w:r>
        <w:rPr>
          <w:spacing w:val="4"/>
        </w:rPr>
        <w:t>（</w:t>
      </w:r>
      <w:r>
        <w:rPr>
          <w:spacing w:val="7"/>
        </w:rPr>
        <w:t>一</w:t>
      </w:r>
      <w:r>
        <w:rPr>
          <w:spacing w:val="4"/>
        </w:rPr>
        <w:t>）</w:t>
      </w:r>
      <w:r>
        <w:rPr>
          <w:spacing w:val="3"/>
        </w:rPr>
        <w:t>提交的与《监督管理办法》第九条第二款规定的符合性</w:t>
      </w:r>
      <w:r>
        <w:t>信息不真实、不准确、不完整的；</w:t>
      </w:r>
    </w:p>
    <w:p>
      <w:pPr>
        <w:pStyle w:val="2"/>
        <w:spacing w:line="362" w:lineRule="auto"/>
        <w:ind w:left="391" w:right="289" w:firstLine="600"/>
      </w:pPr>
      <w:r>
        <w:rPr>
          <w:spacing w:val="4"/>
        </w:rPr>
        <w:t>（</w:t>
      </w:r>
      <w:r>
        <w:rPr>
          <w:spacing w:val="7"/>
        </w:rPr>
        <w:t>二</w:t>
      </w:r>
      <w:r>
        <w:rPr>
          <w:spacing w:val="4"/>
        </w:rPr>
        <w:t>）</w:t>
      </w:r>
      <w:r>
        <w:rPr>
          <w:spacing w:val="3"/>
        </w:rPr>
        <w:t>与《监督管理办法》第九条第二款规定的符合性发生变更，未及时变更基本情况信息的；</w:t>
      </w:r>
    </w:p>
    <w:p>
      <w:pPr>
        <w:pStyle w:val="2"/>
        <w:spacing w:line="364" w:lineRule="auto"/>
        <w:ind w:left="391" w:right="289" w:firstLine="600"/>
        <w:jc w:val="both"/>
      </w:pPr>
      <w:r>
        <w:t>（三）内设机构、分支机构或者临时机构以提交虚假的《监督管理办法》第九条第三款规定的符合性信息为手段，建立诚信档案的；</w:t>
      </w:r>
    </w:p>
    <w:p>
      <w:pPr>
        <w:pStyle w:val="2"/>
        <w:spacing w:line="364" w:lineRule="auto"/>
        <w:ind w:left="391" w:right="292" w:firstLine="607"/>
        <w:jc w:val="both"/>
      </w:pPr>
      <w:r>
        <w:t>（四）未按照《公开管理规定》第十条规定对编制人员相关情况信息进行确认或者变更，或者未按照《公开管理规定》第十五条规定对编制人员相关情况信息进行确认的。</w:t>
      </w:r>
    </w:p>
    <w:p>
      <w:pPr>
        <w:tabs>
          <w:tab w:val="left" w:pos="1331"/>
        </w:tabs>
        <w:spacing w:before="80"/>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26</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7" w:firstLine="600"/>
        <w:jc w:val="both"/>
      </w:pPr>
      <w:r>
        <w:rPr>
          <w:rFonts w:hint="eastAsia" w:ascii="黑体" w:eastAsia="黑体"/>
        </w:rPr>
        <w:t xml:space="preserve">第十三条 </w:t>
      </w:r>
      <w:r>
        <w:t>编制人员未按照《监督管理办法》和《公开管理规定》在信用平台及时变更本人相关情况信息，或者在信用平台提交的本人及其从业单位相关情况信息不真实、不准确、不完整，有下列情形之一的，失信记分 3 分：</w:t>
      </w:r>
    </w:p>
    <w:p>
      <w:pPr>
        <w:pStyle w:val="2"/>
        <w:spacing w:line="383" w:lineRule="exact"/>
        <w:ind w:left="991"/>
      </w:pPr>
      <w:r>
        <w:t>（一）提交的从业单位名称信息不真实的；</w:t>
      </w:r>
    </w:p>
    <w:p>
      <w:pPr>
        <w:pStyle w:val="2"/>
        <w:spacing w:before="199" w:line="364" w:lineRule="auto"/>
        <w:ind w:left="391" w:right="289" w:firstLine="600"/>
      </w:pPr>
      <w:r>
        <w:t>（二）提交的环境影响评价工程师职业资格证书管理号或者取得时间不真实的；</w:t>
      </w:r>
    </w:p>
    <w:p>
      <w:pPr>
        <w:pStyle w:val="2"/>
        <w:spacing w:line="364" w:lineRule="auto"/>
        <w:ind w:left="391" w:right="294" w:firstLine="600"/>
      </w:pPr>
      <w:r>
        <w:t>（三）发生《公开管理规定》第十条所列情形，未及时变更基本情况信息的；</w:t>
      </w:r>
    </w:p>
    <w:p>
      <w:pPr>
        <w:pStyle w:val="2"/>
        <w:spacing w:line="364" w:lineRule="auto"/>
        <w:ind w:left="391" w:right="294" w:firstLine="607"/>
      </w:pPr>
      <w:r>
        <w:t>（四）编制单位未发生《公开管理规定》第九条第一款所列情形，变更编制单位基本情况信息的。</w:t>
      </w:r>
    </w:p>
    <w:p>
      <w:pPr>
        <w:pStyle w:val="2"/>
        <w:spacing w:line="364" w:lineRule="auto"/>
        <w:ind w:left="391" w:right="289" w:firstLine="600"/>
      </w:pPr>
      <w:r>
        <w:t>编制人员有前款第一项所列情形的，还应当对其提交信息中的从业单位失信记分 3 分。</w:t>
      </w:r>
    </w:p>
    <w:p>
      <w:pPr>
        <w:pStyle w:val="2"/>
        <w:tabs>
          <w:tab w:val="left" w:pos="2522"/>
        </w:tabs>
        <w:spacing w:line="364" w:lineRule="auto"/>
        <w:ind w:left="391" w:right="289" w:firstLine="600"/>
      </w:pPr>
      <w:r>
        <w:rPr>
          <w:rFonts w:hint="eastAsia" w:ascii="黑体" w:eastAsia="黑体"/>
          <w:spacing w:val="4"/>
        </w:rPr>
        <w:t>第十</w:t>
      </w:r>
      <w:r>
        <w:rPr>
          <w:rFonts w:hint="eastAsia" w:ascii="黑体" w:eastAsia="黑体"/>
          <w:spacing w:val="7"/>
        </w:rPr>
        <w:t>四</w:t>
      </w:r>
      <w:r>
        <w:rPr>
          <w:rFonts w:hint="eastAsia" w:ascii="黑体" w:eastAsia="黑体"/>
        </w:rPr>
        <w:t>条</w:t>
      </w:r>
      <w:r>
        <w:rPr>
          <w:rFonts w:hint="eastAsia" w:ascii="黑体" w:eastAsia="黑体"/>
        </w:rPr>
        <w:tab/>
      </w:r>
      <w:r>
        <w:rPr>
          <w:spacing w:val="4"/>
        </w:rPr>
        <w:t>信用</w:t>
      </w:r>
      <w:r>
        <w:rPr>
          <w:spacing w:val="7"/>
        </w:rPr>
        <w:t>管</w:t>
      </w:r>
      <w:r>
        <w:rPr>
          <w:spacing w:val="4"/>
        </w:rPr>
        <w:t>理对象</w:t>
      </w:r>
      <w:r>
        <w:rPr>
          <w:spacing w:val="7"/>
        </w:rPr>
        <w:t>有</w:t>
      </w:r>
      <w:r>
        <w:rPr>
          <w:spacing w:val="4"/>
        </w:rPr>
        <w:t>下列情</w:t>
      </w:r>
      <w:r>
        <w:rPr>
          <w:spacing w:val="7"/>
        </w:rPr>
        <w:t>形</w:t>
      </w:r>
      <w:r>
        <w:rPr>
          <w:spacing w:val="4"/>
        </w:rPr>
        <w:t>之一的</w:t>
      </w:r>
      <w:r>
        <w:rPr>
          <w:spacing w:val="7"/>
        </w:rPr>
        <w:t>，</w:t>
      </w:r>
      <w:r>
        <w:rPr>
          <w:spacing w:val="4"/>
        </w:rPr>
        <w:t>对编制</w:t>
      </w:r>
      <w:r>
        <w:rPr>
          <w:spacing w:val="7"/>
        </w:rPr>
        <w:t>单</w:t>
      </w:r>
      <w:r>
        <w:rPr>
          <w:spacing w:val="4"/>
        </w:rPr>
        <w:t>位失</w:t>
      </w:r>
      <w:r>
        <w:t>信记分</w:t>
      </w:r>
      <w:r>
        <w:rPr>
          <w:spacing w:val="-76"/>
        </w:rPr>
        <w:t xml:space="preserve"> </w:t>
      </w:r>
      <w:r>
        <w:t>2</w:t>
      </w:r>
      <w:r>
        <w:rPr>
          <w:spacing w:val="-75"/>
        </w:rPr>
        <w:t xml:space="preserve"> </w:t>
      </w:r>
      <w:r>
        <w:t>分：</w:t>
      </w:r>
    </w:p>
    <w:p>
      <w:pPr>
        <w:pStyle w:val="2"/>
        <w:spacing w:line="364" w:lineRule="auto"/>
        <w:ind w:left="391" w:right="289" w:firstLine="600"/>
      </w:pPr>
      <w:r>
        <w:t>（一）违反《监督管理办法》第十二条第一款规定，由两家及以上单位主持编制环境影响报告书（表）的；</w:t>
      </w:r>
    </w:p>
    <w:p>
      <w:pPr>
        <w:pStyle w:val="2"/>
        <w:spacing w:line="364" w:lineRule="auto"/>
        <w:ind w:left="391" w:right="289" w:firstLine="600"/>
      </w:pPr>
      <w:r>
        <w:t>（二）违反《监督管理办法》第十二条第一款规定，由两名及以上编制人员作为环境影响报告书（表）编制主持人的。</w:t>
      </w:r>
    </w:p>
    <w:p>
      <w:pPr>
        <w:pStyle w:val="2"/>
        <w:tabs>
          <w:tab w:val="left" w:pos="2491"/>
        </w:tabs>
        <w:spacing w:line="382" w:lineRule="exact"/>
        <w:ind w:left="991"/>
      </w:pPr>
      <w:r>
        <w:rPr>
          <w:rFonts w:hint="eastAsia" w:ascii="黑体" w:eastAsia="黑体"/>
        </w:rPr>
        <w:t>第十五条</w:t>
      </w:r>
      <w:r>
        <w:rPr>
          <w:rFonts w:hint="eastAsia" w:ascii="黑体" w:eastAsia="黑体"/>
        </w:rPr>
        <w:tab/>
      </w:r>
      <w:r>
        <w:t>编制单位有下列情形之一的，失信记分</w:t>
      </w:r>
      <w:r>
        <w:rPr>
          <w:spacing w:val="-76"/>
        </w:rPr>
        <w:t xml:space="preserve"> </w:t>
      </w:r>
      <w:r>
        <w:t>2</w:t>
      </w:r>
      <w:r>
        <w:rPr>
          <w:spacing w:val="-75"/>
        </w:rPr>
        <w:t xml:space="preserve"> </w:t>
      </w:r>
      <w:r>
        <w:t>分：</w:t>
      </w:r>
    </w:p>
    <w:p>
      <w:pPr>
        <w:pStyle w:val="2"/>
        <w:spacing w:before="191" w:line="364" w:lineRule="auto"/>
        <w:ind w:left="391" w:right="294" w:firstLine="600"/>
      </w:pPr>
      <w:r>
        <w:t>（一）未按照《监督管理办法》第十五条规定将相关资料存档的；</w:t>
      </w:r>
    </w:p>
    <w:p>
      <w:pPr>
        <w:tabs>
          <w:tab w:val="left" w:pos="940"/>
        </w:tabs>
        <w:spacing w:before="85"/>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27</w:t>
      </w:r>
      <w:r>
        <w:rPr>
          <w:rFonts w:ascii="宋体" w:hAnsi="宋体"/>
          <w:sz w:val="26"/>
        </w:rPr>
        <w:tab/>
      </w:r>
      <w:r>
        <w:rPr>
          <w:rFonts w:ascii="宋体" w:hAnsi="宋体"/>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92" w:firstLine="600"/>
      </w:pPr>
      <w:r>
        <w:t>（二）主持编制环境影响报告书（表）的技术单位未按照《监督管理办法》第十二条第二款规定与建设单位签订委托合同的；</w:t>
      </w:r>
    </w:p>
    <w:p>
      <w:pPr>
        <w:pStyle w:val="2"/>
        <w:spacing w:line="364" w:lineRule="auto"/>
        <w:ind w:left="391" w:right="289" w:firstLine="600"/>
      </w:pPr>
      <w:r>
        <w:t>（三）在信用平台提交的环境影响报告书（表）基本情况信息不真实、不准确、不完整的；</w:t>
      </w:r>
    </w:p>
    <w:p>
      <w:pPr>
        <w:pStyle w:val="2"/>
        <w:spacing w:line="364" w:lineRule="auto"/>
        <w:ind w:left="391" w:right="138" w:firstLine="600"/>
      </w:pPr>
      <w:r>
        <w:t>（四）除本办法第十二条所列情形外，未按照《监督管理办法》和《公开管理规定》在信用平台及时变更本单位相关情况信息，或者提交的本单位及其编制人员的信息不真实、不准确、不完整的。</w:t>
      </w:r>
    </w:p>
    <w:p>
      <w:pPr>
        <w:pStyle w:val="2"/>
        <w:tabs>
          <w:tab w:val="left" w:pos="2522"/>
        </w:tabs>
        <w:spacing w:line="364" w:lineRule="auto"/>
        <w:ind w:left="391" w:right="289" w:firstLine="600"/>
      </w:pPr>
      <w:r>
        <w:rPr>
          <w:rFonts w:hint="eastAsia" w:ascii="黑体" w:eastAsia="黑体"/>
          <w:spacing w:val="4"/>
        </w:rPr>
        <w:t>第十</w:t>
      </w:r>
      <w:r>
        <w:rPr>
          <w:rFonts w:hint="eastAsia" w:ascii="黑体" w:eastAsia="黑体"/>
          <w:spacing w:val="7"/>
        </w:rPr>
        <w:t>六</w:t>
      </w:r>
      <w:r>
        <w:rPr>
          <w:rFonts w:hint="eastAsia" w:ascii="黑体" w:eastAsia="黑体"/>
        </w:rPr>
        <w:t>条</w:t>
      </w:r>
      <w:r>
        <w:rPr>
          <w:rFonts w:hint="eastAsia" w:ascii="黑体" w:eastAsia="黑体"/>
        </w:rPr>
        <w:tab/>
      </w:r>
      <w:r>
        <w:rPr>
          <w:spacing w:val="4"/>
        </w:rPr>
        <w:t>除本</w:t>
      </w:r>
      <w:r>
        <w:rPr>
          <w:spacing w:val="7"/>
        </w:rPr>
        <w:t>办</w:t>
      </w:r>
      <w:r>
        <w:rPr>
          <w:spacing w:val="4"/>
        </w:rPr>
        <w:t>法第十</w:t>
      </w:r>
      <w:r>
        <w:rPr>
          <w:spacing w:val="7"/>
        </w:rPr>
        <w:t>三</w:t>
      </w:r>
      <w:r>
        <w:rPr>
          <w:spacing w:val="4"/>
        </w:rPr>
        <w:t>条所列</w:t>
      </w:r>
      <w:r>
        <w:rPr>
          <w:spacing w:val="7"/>
        </w:rPr>
        <w:t>情</w:t>
      </w:r>
      <w:r>
        <w:rPr>
          <w:spacing w:val="4"/>
        </w:rPr>
        <w:t>形外，</w:t>
      </w:r>
      <w:r>
        <w:rPr>
          <w:spacing w:val="7"/>
        </w:rPr>
        <w:t>编</w:t>
      </w:r>
      <w:r>
        <w:rPr>
          <w:spacing w:val="4"/>
        </w:rPr>
        <w:t>制人员</w:t>
      </w:r>
      <w:r>
        <w:rPr>
          <w:spacing w:val="7"/>
        </w:rPr>
        <w:t>在</w:t>
      </w:r>
      <w:r>
        <w:rPr>
          <w:spacing w:val="4"/>
        </w:rPr>
        <w:t>信用</w:t>
      </w:r>
      <w:r>
        <w:t>平台提交的信息不真实、不准确、不完整的，</w:t>
      </w:r>
      <w:r>
        <w:rPr>
          <w:spacing w:val="4"/>
        </w:rPr>
        <w:t>失</w:t>
      </w:r>
      <w:r>
        <w:t>信</w:t>
      </w:r>
      <w:r>
        <w:rPr>
          <w:spacing w:val="4"/>
        </w:rPr>
        <w:t>记</w:t>
      </w:r>
      <w:r>
        <w:t>分</w:t>
      </w:r>
      <w:r>
        <w:rPr>
          <w:spacing w:val="-71"/>
        </w:rPr>
        <w:t xml:space="preserve"> </w:t>
      </w:r>
      <w:r>
        <w:t>2</w:t>
      </w:r>
      <w:r>
        <w:rPr>
          <w:spacing w:val="-72"/>
        </w:rPr>
        <w:t xml:space="preserve"> </w:t>
      </w:r>
      <w:r>
        <w:rPr>
          <w:spacing w:val="4"/>
        </w:rPr>
        <w:t>分</w:t>
      </w:r>
      <w:r>
        <w:t>。</w:t>
      </w:r>
    </w:p>
    <w:p>
      <w:pPr>
        <w:pStyle w:val="2"/>
        <w:tabs>
          <w:tab w:val="left" w:pos="2515"/>
        </w:tabs>
        <w:spacing w:line="364" w:lineRule="auto"/>
        <w:ind w:left="391" w:right="292" w:firstLine="600"/>
      </w:pPr>
      <w:r>
        <w:rPr>
          <w:rFonts w:hint="eastAsia" w:ascii="黑体" w:eastAsia="黑体"/>
          <w:spacing w:val="4"/>
        </w:rPr>
        <w:t>第</w:t>
      </w:r>
      <w:r>
        <w:rPr>
          <w:rFonts w:hint="eastAsia" w:ascii="黑体" w:eastAsia="黑体"/>
        </w:rPr>
        <w:t>十</w:t>
      </w:r>
      <w:r>
        <w:rPr>
          <w:rFonts w:hint="eastAsia" w:ascii="黑体" w:eastAsia="黑体"/>
          <w:spacing w:val="4"/>
        </w:rPr>
        <w:t>七</w:t>
      </w:r>
      <w:r>
        <w:rPr>
          <w:rFonts w:hint="eastAsia" w:ascii="黑体" w:eastAsia="黑体"/>
        </w:rPr>
        <w:t>条</w:t>
      </w:r>
      <w:r>
        <w:rPr>
          <w:rFonts w:hint="eastAsia" w:ascii="黑体" w:eastAsia="黑体"/>
        </w:rPr>
        <w:tab/>
      </w:r>
      <w:r>
        <w:rPr>
          <w:spacing w:val="4"/>
        </w:rPr>
        <w:t>编</w:t>
      </w:r>
      <w:r>
        <w:t>制</w:t>
      </w:r>
      <w:r>
        <w:rPr>
          <w:spacing w:val="4"/>
        </w:rPr>
        <w:t>人员</w:t>
      </w:r>
      <w:r>
        <w:t>有</w:t>
      </w:r>
      <w:r>
        <w:rPr>
          <w:spacing w:val="4"/>
        </w:rPr>
        <w:t>下列</w:t>
      </w:r>
      <w:r>
        <w:t>情</w:t>
      </w:r>
      <w:r>
        <w:rPr>
          <w:spacing w:val="4"/>
        </w:rPr>
        <w:t>形之一</w:t>
      </w:r>
      <w:r>
        <w:t>的</w:t>
      </w:r>
      <w:r>
        <w:rPr>
          <w:spacing w:val="4"/>
        </w:rPr>
        <w:t>，</w:t>
      </w:r>
      <w:r>
        <w:rPr>
          <w:spacing w:val="7"/>
        </w:rPr>
        <w:t>对</w:t>
      </w:r>
      <w:r>
        <w:rPr>
          <w:spacing w:val="9"/>
        </w:rPr>
        <w:t>编</w:t>
      </w:r>
      <w:r>
        <w:rPr>
          <w:spacing w:val="7"/>
        </w:rPr>
        <w:t>制单</w:t>
      </w:r>
      <w:r>
        <w:rPr>
          <w:spacing w:val="9"/>
        </w:rPr>
        <w:t>位</w:t>
      </w:r>
      <w:r>
        <w:rPr>
          <w:spacing w:val="7"/>
        </w:rPr>
        <w:t>和编</w:t>
      </w:r>
      <w:r>
        <w:rPr>
          <w:spacing w:val="9"/>
        </w:rPr>
        <w:t>制</w:t>
      </w:r>
      <w:r>
        <w:t>人</w:t>
      </w:r>
      <w:r>
        <w:rPr>
          <w:spacing w:val="4"/>
        </w:rPr>
        <w:t>员</w:t>
      </w:r>
      <w:r>
        <w:t>分</w:t>
      </w:r>
      <w:r>
        <w:rPr>
          <w:spacing w:val="4"/>
        </w:rPr>
        <w:t>别失</w:t>
      </w:r>
      <w:r>
        <w:t>信</w:t>
      </w:r>
      <w:r>
        <w:rPr>
          <w:spacing w:val="4"/>
        </w:rPr>
        <w:t>记</w:t>
      </w:r>
      <w:r>
        <w:t>分</w:t>
      </w:r>
      <w:r>
        <w:rPr>
          <w:spacing w:val="-71"/>
        </w:rPr>
        <w:t xml:space="preserve"> </w:t>
      </w:r>
      <w:r>
        <w:t>2</w:t>
      </w:r>
      <w:r>
        <w:rPr>
          <w:spacing w:val="-72"/>
        </w:rPr>
        <w:t xml:space="preserve"> </w:t>
      </w:r>
      <w:r>
        <w:rPr>
          <w:spacing w:val="4"/>
        </w:rPr>
        <w:t>分</w:t>
      </w:r>
      <w:r>
        <w:t>：</w:t>
      </w:r>
    </w:p>
    <w:p>
      <w:pPr>
        <w:pStyle w:val="2"/>
        <w:spacing w:line="364" w:lineRule="auto"/>
        <w:ind w:left="391" w:right="294" w:firstLine="600"/>
      </w:pPr>
      <w:r>
        <w:t>（一）</w:t>
      </w:r>
      <w:r>
        <w:rPr>
          <w:spacing w:val="3"/>
        </w:rPr>
        <w:t>未按照《监督管理办法》第十三条第二款规定进行环境</w:t>
      </w:r>
      <w:r>
        <w:t>影响评价质量控制的；</w:t>
      </w:r>
    </w:p>
    <w:p>
      <w:pPr>
        <w:pStyle w:val="2"/>
        <w:spacing w:line="364" w:lineRule="auto"/>
        <w:ind w:left="391" w:right="289" w:firstLine="600"/>
      </w:pPr>
      <w:r>
        <w:t>（二）未按照《监督管理办法》第十四条第二款规定在《编制单位和编制人员情况表》中签字的。</w:t>
      </w:r>
    </w:p>
    <w:p>
      <w:pPr>
        <w:pStyle w:val="2"/>
        <w:spacing w:line="364" w:lineRule="auto"/>
        <w:ind w:left="391" w:right="289" w:firstLine="600"/>
        <w:jc w:val="both"/>
      </w:pPr>
      <w:r>
        <w:rPr>
          <w:rFonts w:hint="eastAsia" w:ascii="黑体" w:eastAsia="黑体"/>
        </w:rPr>
        <w:t xml:space="preserve">第十八条 </w:t>
      </w:r>
      <w:r>
        <w:t>生态环境主管部门在环境影响报告书（表）受理过程中发现信用管理对象有本办法第五条第三项、第五条第四项、第八条至第十条、第十四条、第十七条第二项所列情形之一的，除按照本办法对信用管理对象实施失信记分外，还应当按照《监督管理办法》第二十条规定告知建设单位需补正的全部内容。</w:t>
      </w:r>
    </w:p>
    <w:p>
      <w:pPr>
        <w:pStyle w:val="2"/>
        <w:spacing w:line="364" w:lineRule="auto"/>
        <w:ind w:left="391" w:right="289" w:firstLine="600"/>
      </w:pPr>
      <w:r>
        <w:t>生态环境主管部门在监督检查中发现信用管理对象有前款所列情形之一、相关环境影响报告书（表）经批准的，除按照本办法对</w:t>
      </w:r>
    </w:p>
    <w:p>
      <w:pPr>
        <w:tabs>
          <w:tab w:val="left" w:pos="1331"/>
        </w:tabs>
        <w:spacing w:before="71"/>
        <w:ind w:left="391" w:right="0" w:firstLine="0"/>
        <w:jc w:val="lef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28</w:t>
      </w:r>
      <w:r>
        <w:rPr>
          <w:rFonts w:ascii="宋体" w:hAnsi="宋体"/>
          <w:sz w:val="26"/>
        </w:rPr>
        <w:tab/>
      </w:r>
      <w:r>
        <w:rPr>
          <w:rFonts w:ascii="宋体" w:hAnsi="宋体"/>
          <w:sz w:val="28"/>
        </w:rPr>
        <w:t>—</w:t>
      </w:r>
    </w:p>
    <w:p>
      <w:pPr>
        <w:spacing w:after="0"/>
        <w:jc w:val="lef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line="364" w:lineRule="auto"/>
        <w:ind w:left="391" w:right="289"/>
        <w:jc w:val="both"/>
      </w:pPr>
      <w:r>
        <w:t>信用管理对象实施失信记分外，还应当按照《监督管理办法》第三十条规定重新对相关环境影响报告书（表）进行编制质量检查，或者由生态环境主管部门或者其他负责审批环境影响报告书（表）的审批部门依法撤销相应批准文件。</w:t>
      </w:r>
    </w:p>
    <w:p>
      <w:pPr>
        <w:pStyle w:val="2"/>
        <w:spacing w:line="364" w:lineRule="auto"/>
        <w:ind w:left="391" w:right="289" w:firstLine="600"/>
        <w:jc w:val="both"/>
      </w:pPr>
      <w:r>
        <w:rPr>
          <w:rFonts w:hint="eastAsia" w:ascii="黑体" w:eastAsia="黑体"/>
        </w:rPr>
        <w:t xml:space="preserve">第十九条 </w:t>
      </w:r>
      <w:r>
        <w:t>信用管理对象名称或者姓名发生变更，统一社会信用代码或者身份证件号码未发生变化的，信用平台按照同一信用管理对象继续累计失信记分。</w:t>
      </w:r>
    </w:p>
    <w:p>
      <w:pPr>
        <w:pStyle w:val="2"/>
        <w:spacing w:line="364" w:lineRule="auto"/>
        <w:ind w:left="391" w:right="289" w:firstLine="600"/>
        <w:jc w:val="both"/>
      </w:pPr>
      <w:r>
        <w:t>信用管理对象在《监督管理办法》规定的限期整改期间,被发现存在失信行为的,生态环境主管部门应当继续对失信行为实施失信记分。</w:t>
      </w:r>
    </w:p>
    <w:p>
      <w:pPr>
        <w:pStyle w:val="2"/>
        <w:spacing w:line="364" w:lineRule="auto"/>
        <w:ind w:left="391" w:right="289" w:firstLine="600"/>
        <w:jc w:val="both"/>
      </w:pPr>
      <w:r>
        <w:rPr>
          <w:rFonts w:hint="eastAsia" w:ascii="黑体" w:eastAsia="黑体"/>
        </w:rPr>
        <w:t xml:space="preserve">第二十条 </w:t>
      </w:r>
      <w:r>
        <w:t>信用管理对象失信行为有下列情形的，应当按照不同失信行为分别作出失信记分：</w:t>
      </w:r>
    </w:p>
    <w:p>
      <w:pPr>
        <w:pStyle w:val="2"/>
        <w:spacing w:line="364" w:lineRule="auto"/>
        <w:ind w:left="391" w:right="289" w:firstLine="600"/>
      </w:pPr>
      <w:r>
        <w:t>（一）涉及本办法第五条至第十七条中不同条款或者同一条款中不同项的；</w:t>
      </w:r>
    </w:p>
    <w:p>
      <w:pPr>
        <w:pStyle w:val="2"/>
        <w:spacing w:line="364" w:lineRule="auto"/>
        <w:ind w:left="391" w:right="289" w:firstLine="600"/>
        <w:jc w:val="both"/>
      </w:pPr>
      <w:r>
        <w:t>（二）有本办法第五条、第七条、第八条、第九条第二项至第四项、第十一条、第十四条、第十五条第一项至第三项或者第十七条所列任一失信行为，涉及不同环境影响报告书（表）的；</w:t>
      </w:r>
    </w:p>
    <w:p>
      <w:pPr>
        <w:pStyle w:val="2"/>
        <w:spacing w:line="364" w:lineRule="auto"/>
        <w:ind w:left="391" w:right="289" w:firstLine="600"/>
      </w:pPr>
      <w:r>
        <w:t>（三）有本办法第六条、第十二条第一项、第十二条第二项或者第十三条所列任一失信行为，涉及不同时段的；</w:t>
      </w:r>
    </w:p>
    <w:p>
      <w:pPr>
        <w:pStyle w:val="2"/>
        <w:spacing w:line="364" w:lineRule="auto"/>
        <w:ind w:left="391" w:right="289" w:firstLine="600"/>
      </w:pPr>
      <w:r>
        <w:t>（四）有本办法第十二条第三项所列失信行为，涉及不同内设机构、分支机构或者临时机构，或者涉及不同时段的；</w:t>
      </w:r>
    </w:p>
    <w:p>
      <w:pPr>
        <w:pStyle w:val="2"/>
        <w:ind w:left="991"/>
      </w:pPr>
      <w:r>
        <w:rPr>
          <w:spacing w:val="4"/>
        </w:rPr>
        <w:t>（</w:t>
      </w:r>
      <w:r>
        <w:rPr>
          <w:spacing w:val="7"/>
        </w:rPr>
        <w:t>五</w:t>
      </w:r>
      <w:r>
        <w:rPr>
          <w:spacing w:val="4"/>
        </w:rPr>
        <w:t>）</w:t>
      </w:r>
      <w:r>
        <w:rPr>
          <w:spacing w:val="3"/>
        </w:rPr>
        <w:t>有本办法第十二条第四项所列任一失信行为，涉及不同</w:t>
      </w:r>
    </w:p>
    <w:p>
      <w:pPr>
        <w:pStyle w:val="2"/>
        <w:spacing w:before="4"/>
        <w:rPr>
          <w:sz w:val="16"/>
        </w:rPr>
      </w:pPr>
    </w:p>
    <w:p>
      <w:pPr>
        <w:tabs>
          <w:tab w:val="left" w:pos="940"/>
        </w:tabs>
        <w:spacing w:before="62"/>
        <w:ind w:left="0" w:right="287" w:firstLine="0"/>
        <w:jc w:val="right"/>
        <w:rPr>
          <w:rFonts w:ascii="宋体" w:hAnsi="宋体"/>
          <w:sz w:val="28"/>
        </w:rPr>
      </w:pPr>
      <w:r>
        <w:rPr>
          <w:rFonts w:ascii="宋体" w:hAnsi="宋体"/>
          <w:sz w:val="28"/>
        </w:rPr>
        <w:t>—</w:t>
      </w:r>
      <w:r>
        <w:rPr>
          <w:rFonts w:ascii="宋体" w:hAnsi="宋体"/>
          <w:spacing w:val="59"/>
          <w:sz w:val="28"/>
        </w:rPr>
        <w:t xml:space="preserve"> </w:t>
      </w:r>
      <w:r>
        <w:rPr>
          <w:rFonts w:ascii="宋体" w:hAnsi="宋体"/>
          <w:sz w:val="26"/>
        </w:rPr>
        <w:t>29</w:t>
      </w:r>
      <w:r>
        <w:rPr>
          <w:rFonts w:ascii="宋体" w:hAnsi="宋体"/>
          <w:sz w:val="26"/>
        </w:rPr>
        <w:tab/>
      </w:r>
      <w:r>
        <w:rPr>
          <w:rFonts w:ascii="宋体" w:hAnsi="宋体"/>
          <w:spacing w:val="-1"/>
          <w:sz w:val="28"/>
        </w:rPr>
        <w:t>—</w:t>
      </w:r>
    </w:p>
    <w:p>
      <w:pPr>
        <w:spacing w:after="0"/>
        <w:jc w:val="right"/>
        <w:rPr>
          <w:rFonts w:ascii="宋体" w:hAnsi="宋体"/>
          <w:sz w:val="28"/>
        </w:rPr>
        <w:sectPr>
          <w:pgSz w:w="11910" w:h="16840"/>
          <w:pgMar w:top="1600" w:right="1240" w:bottom="280" w:left="1140" w:header="720" w:footer="720" w:gutter="0"/>
        </w:sectPr>
      </w:pPr>
    </w:p>
    <w:p>
      <w:pPr>
        <w:pStyle w:val="2"/>
        <w:spacing w:before="10"/>
        <w:rPr>
          <w:rFonts w:ascii="宋体"/>
          <w:sz w:val="16"/>
        </w:rPr>
      </w:pPr>
    </w:p>
    <w:p>
      <w:pPr>
        <w:pStyle w:val="2"/>
        <w:spacing w:before="58"/>
        <w:ind w:left="391"/>
      </w:pPr>
      <w:r>
        <w:t>编制人员的；</w:t>
      </w:r>
    </w:p>
    <w:p>
      <w:pPr>
        <w:pStyle w:val="2"/>
        <w:spacing w:before="199" w:line="364" w:lineRule="auto"/>
        <w:ind w:left="391" w:right="289" w:firstLine="600"/>
      </w:pPr>
      <w:r>
        <w:t>（六）有本办法第十五条第四项或者第十六条所列任一失信行为，涉及不同信息或者不同时段的。</w:t>
      </w:r>
    </w:p>
    <w:p>
      <w:pPr>
        <w:pStyle w:val="2"/>
        <w:tabs>
          <w:tab w:val="left" w:pos="2827"/>
        </w:tabs>
        <w:spacing w:line="364" w:lineRule="auto"/>
        <w:ind w:left="391" w:right="289" w:firstLine="600"/>
      </w:pPr>
      <w:r>
        <w:rPr>
          <w:rFonts w:hint="eastAsia" w:ascii="黑体" w:eastAsia="黑体"/>
          <w:spacing w:val="4"/>
        </w:rPr>
        <w:t>第二</w:t>
      </w:r>
      <w:r>
        <w:rPr>
          <w:rFonts w:hint="eastAsia" w:ascii="黑体" w:eastAsia="黑体"/>
          <w:spacing w:val="7"/>
        </w:rPr>
        <w:t>十</w:t>
      </w:r>
      <w:r>
        <w:rPr>
          <w:rFonts w:hint="eastAsia" w:ascii="黑体" w:eastAsia="黑体"/>
          <w:spacing w:val="4"/>
        </w:rPr>
        <w:t>一</w:t>
      </w:r>
      <w:r>
        <w:rPr>
          <w:rFonts w:hint="eastAsia" w:ascii="黑体" w:eastAsia="黑体"/>
        </w:rPr>
        <w:t>条</w:t>
      </w:r>
      <w:r>
        <w:rPr>
          <w:rFonts w:hint="eastAsia" w:ascii="黑体" w:eastAsia="黑体"/>
        </w:rPr>
        <w:tab/>
      </w:r>
      <w:r>
        <w:rPr>
          <w:spacing w:val="4"/>
        </w:rPr>
        <w:t>同一</w:t>
      </w:r>
      <w:r>
        <w:rPr>
          <w:spacing w:val="7"/>
        </w:rPr>
        <w:t>失</w:t>
      </w:r>
      <w:r>
        <w:rPr>
          <w:spacing w:val="4"/>
        </w:rPr>
        <w:t>信行为</w:t>
      </w:r>
      <w:r>
        <w:rPr>
          <w:spacing w:val="7"/>
        </w:rPr>
        <w:t>已</w:t>
      </w:r>
      <w:r>
        <w:rPr>
          <w:spacing w:val="4"/>
        </w:rPr>
        <w:t>由其他</w:t>
      </w:r>
      <w:r>
        <w:rPr>
          <w:spacing w:val="7"/>
        </w:rPr>
        <w:t>生</w:t>
      </w:r>
      <w:r>
        <w:rPr>
          <w:spacing w:val="4"/>
        </w:rPr>
        <w:t>态环境</w:t>
      </w:r>
      <w:r>
        <w:rPr>
          <w:spacing w:val="7"/>
        </w:rPr>
        <w:t>主</w:t>
      </w:r>
      <w:r>
        <w:rPr>
          <w:spacing w:val="4"/>
        </w:rPr>
        <w:t>管部门</w:t>
      </w:r>
      <w:r>
        <w:rPr>
          <w:spacing w:val="7"/>
        </w:rPr>
        <w:t>实</w:t>
      </w:r>
      <w:r>
        <w:rPr>
          <w:spacing w:val="4"/>
        </w:rPr>
        <w:t>施</w:t>
      </w:r>
      <w:r>
        <w:t>失信记分的，不得重复记分。</w:t>
      </w:r>
    </w:p>
    <w:p>
      <w:pPr>
        <w:pStyle w:val="2"/>
        <w:spacing w:line="364" w:lineRule="auto"/>
        <w:ind w:left="391" w:right="289" w:firstLine="600"/>
        <w:jc w:val="both"/>
      </w:pPr>
      <w:r>
        <w:rPr>
          <w:rFonts w:hint="eastAsia" w:ascii="黑体" w:eastAsia="黑体"/>
        </w:rPr>
        <w:t xml:space="preserve">第二十二条 </w:t>
      </w:r>
      <w:r>
        <w:t>失信记分不符合本办法第二十一条规定的，信用管理对象可按照《监督管理办法》第三十三条第二款的规定作出书面陈述和申辩。</w:t>
      </w:r>
    </w:p>
    <w:p>
      <w:pPr>
        <w:pStyle w:val="2"/>
        <w:spacing w:line="364" w:lineRule="auto"/>
        <w:ind w:left="391" w:right="289" w:firstLine="600"/>
        <w:jc w:val="both"/>
      </w:pPr>
      <w:r>
        <w:rPr>
          <w:rFonts w:hint="eastAsia" w:ascii="黑体" w:eastAsia="黑体"/>
        </w:rPr>
        <w:t xml:space="preserve">第二十三条 </w:t>
      </w:r>
      <w:r>
        <w:t>本办法所称技术单位、编制单位、编制人员、编制主持人和从业单位，是指《监督管理办法》第二条、第四条、第五条和第四十四条中的相关单位和人员。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C5A0D"/>
    <w:rsid w:val="260C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2020-08-12T01:44:00Z</dcterms:created>
  <dc:creator>Katherine-玉红</dc:creator>
  <cp:lastModifiedBy>Katherine-玉红</cp:lastModifiedBy>
  <dcterms:modified xsi:type="dcterms:W3CDTF">2020-08-12T01:49:08Z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